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A0E45" w14:textId="3F7CF2DE" w:rsidR="004101C4" w:rsidRPr="000D7B04" w:rsidRDefault="004101C4" w:rsidP="000D7B04">
      <w:pPr>
        <w:widowControl/>
        <w:suppressAutoHyphens w:val="0"/>
        <w:autoSpaceDN/>
        <w:spacing w:line="276" w:lineRule="auto"/>
        <w:jc w:val="right"/>
        <w:textAlignment w:val="auto"/>
        <w:rPr>
          <w:rFonts w:asciiTheme="majorHAnsi" w:eastAsia="Calibri" w:hAnsiTheme="majorHAnsi" w:cstheme="majorHAnsi"/>
          <w:bCs/>
          <w:i/>
          <w:szCs w:val="24"/>
          <w:lang w:eastAsia="en-US"/>
        </w:rPr>
      </w:pPr>
      <w:r w:rsidRPr="000D7B04">
        <w:rPr>
          <w:rFonts w:asciiTheme="majorHAnsi" w:eastAsia="Calibri" w:hAnsiTheme="majorHAnsi" w:cstheme="majorHAnsi"/>
          <w:bCs/>
          <w:i/>
          <w:szCs w:val="24"/>
          <w:lang w:eastAsia="en-US"/>
        </w:rPr>
        <w:t>Załącznik nr 2 do zapytania</w:t>
      </w:r>
    </w:p>
    <w:p w14:paraId="45025B23" w14:textId="77777777" w:rsidR="004101C4" w:rsidRPr="000D7B04" w:rsidRDefault="004101C4" w:rsidP="000D7B04">
      <w:pPr>
        <w:keepNext/>
        <w:widowControl/>
        <w:suppressAutoHyphens w:val="0"/>
        <w:autoSpaceDN/>
        <w:spacing w:line="276" w:lineRule="auto"/>
        <w:textAlignment w:val="auto"/>
        <w:outlineLvl w:val="3"/>
        <w:rPr>
          <w:rFonts w:asciiTheme="majorHAnsi" w:eastAsia="Times New Roman" w:hAnsiTheme="majorHAnsi" w:cstheme="majorHAnsi"/>
          <w:b/>
          <w:sz w:val="16"/>
          <w:szCs w:val="16"/>
          <w:lang w:val="x-none" w:eastAsia="ar-SA"/>
        </w:rPr>
      </w:pPr>
    </w:p>
    <w:p w14:paraId="70532F82" w14:textId="64ABDBDD" w:rsidR="004101C4" w:rsidRPr="000D7B04" w:rsidRDefault="004101C4" w:rsidP="000D7B04">
      <w:pPr>
        <w:keepNext/>
        <w:widowControl/>
        <w:suppressAutoHyphens w:val="0"/>
        <w:autoSpaceDN/>
        <w:spacing w:line="276" w:lineRule="auto"/>
        <w:jc w:val="center"/>
        <w:textAlignment w:val="auto"/>
        <w:outlineLvl w:val="3"/>
        <w:rPr>
          <w:rFonts w:asciiTheme="majorHAnsi" w:eastAsia="Times New Roman" w:hAnsiTheme="majorHAnsi" w:cstheme="majorHAnsi"/>
          <w:b/>
          <w:szCs w:val="24"/>
          <w:lang w:val="x-none" w:eastAsia="ar-SA"/>
        </w:rPr>
      </w:pPr>
      <w:r w:rsidRPr="000D7B04">
        <w:rPr>
          <w:rFonts w:asciiTheme="majorHAnsi" w:eastAsia="Times New Roman" w:hAnsiTheme="majorHAnsi" w:cstheme="majorHAnsi"/>
          <w:b/>
          <w:szCs w:val="24"/>
          <w:lang w:val="x-none" w:eastAsia="ar-SA"/>
        </w:rPr>
        <w:t>OPIS PRZEDMIOTU ZAMÓWIENIA</w:t>
      </w:r>
      <w:r w:rsidR="00150CAF">
        <w:rPr>
          <w:rFonts w:asciiTheme="majorHAnsi" w:eastAsia="Times New Roman" w:hAnsiTheme="majorHAnsi" w:cstheme="majorHAnsi"/>
          <w:b/>
          <w:szCs w:val="24"/>
          <w:lang w:eastAsia="ar-SA"/>
        </w:rPr>
        <w:t xml:space="preserve"> </w:t>
      </w:r>
      <w:r w:rsidRPr="000D7B04">
        <w:rPr>
          <w:rFonts w:asciiTheme="majorHAnsi" w:eastAsia="Times New Roman" w:hAnsiTheme="majorHAnsi" w:cstheme="majorHAnsi"/>
          <w:b/>
          <w:szCs w:val="24"/>
          <w:lang w:val="x-none" w:eastAsia="ar-SA"/>
        </w:rPr>
        <w:t>ORAZ WZÓR SZCZEGÓŁOWEGO FORMULARZA CENOWEGO</w:t>
      </w:r>
    </w:p>
    <w:p w14:paraId="425274E1" w14:textId="77777777" w:rsidR="004101C4" w:rsidRPr="000D7B04" w:rsidRDefault="004101C4" w:rsidP="000D7B04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 w:cstheme="majorHAnsi"/>
          <w:sz w:val="16"/>
          <w:szCs w:val="16"/>
          <w:lang w:eastAsia="ar-SA"/>
        </w:rPr>
      </w:pPr>
    </w:p>
    <w:p w14:paraId="705AAFE1" w14:textId="392B6978" w:rsidR="004101C4" w:rsidRPr="000D7B04" w:rsidRDefault="004101C4" w:rsidP="000D7B04">
      <w:pPr>
        <w:widowControl/>
        <w:autoSpaceDN/>
        <w:spacing w:line="276" w:lineRule="auto"/>
        <w:jc w:val="both"/>
        <w:textAlignment w:val="auto"/>
        <w:rPr>
          <w:rFonts w:asciiTheme="majorHAnsi" w:eastAsia="Calibri" w:hAnsiTheme="majorHAnsi" w:cstheme="majorHAnsi"/>
          <w:b/>
          <w:szCs w:val="24"/>
          <w:lang w:eastAsia="en-US"/>
        </w:rPr>
      </w:pPr>
      <w:r w:rsidRPr="000D7B04">
        <w:rPr>
          <w:rFonts w:asciiTheme="majorHAnsi" w:eastAsia="Calibri" w:hAnsiTheme="majorHAnsi" w:cstheme="majorHAnsi"/>
          <w:szCs w:val="24"/>
          <w:lang w:eastAsia="ar-SA"/>
        </w:rPr>
        <w:t xml:space="preserve">Dotyczy </w:t>
      </w:r>
      <w:r w:rsidRPr="000D7B04">
        <w:rPr>
          <w:rFonts w:asciiTheme="majorHAnsi" w:eastAsia="Calibri" w:hAnsiTheme="majorHAnsi" w:cstheme="majorHAnsi"/>
          <w:szCs w:val="24"/>
          <w:lang w:eastAsia="en-US"/>
        </w:rPr>
        <w:t xml:space="preserve">zapytania ofertowego </w:t>
      </w:r>
      <w:r w:rsidR="00FF0BBB" w:rsidRPr="000D7B04">
        <w:rPr>
          <w:rFonts w:asciiTheme="majorHAnsi" w:eastAsia="Calibri" w:hAnsiTheme="majorHAnsi" w:cstheme="majorHAnsi"/>
          <w:szCs w:val="24"/>
          <w:lang w:eastAsia="en-US"/>
        </w:rPr>
        <w:t>na:</w:t>
      </w:r>
      <w:r w:rsidR="00FF0BBB" w:rsidRPr="000D7B04">
        <w:rPr>
          <w:rFonts w:asciiTheme="majorHAnsi" w:eastAsia="Calibri" w:hAnsiTheme="majorHAnsi" w:cstheme="majorHAnsi"/>
          <w:b/>
          <w:szCs w:val="24"/>
          <w:lang w:eastAsia="en-US"/>
        </w:rPr>
        <w:t xml:space="preserve"> </w:t>
      </w:r>
      <w:r w:rsidR="00876EF3" w:rsidRPr="000D7B04">
        <w:rPr>
          <w:rFonts w:asciiTheme="majorHAnsi" w:eastAsia="Calibri" w:hAnsiTheme="majorHAnsi" w:cstheme="majorHAnsi"/>
          <w:b/>
          <w:szCs w:val="24"/>
          <w:lang w:eastAsia="en-US"/>
        </w:rPr>
        <w:t>„Dostawę wyposażenia dla jednostki Ochotniczej Straży Pożarnej w Kąkolewnicy”</w:t>
      </w:r>
    </w:p>
    <w:p w14:paraId="58D165EE" w14:textId="77777777" w:rsidR="00595221" w:rsidRPr="000D7B04" w:rsidRDefault="00595221" w:rsidP="000D7B04">
      <w:pPr>
        <w:suppressAutoHyphens w:val="0"/>
        <w:autoSpaceDN/>
        <w:spacing w:line="276" w:lineRule="auto"/>
        <w:jc w:val="both"/>
        <w:textAlignment w:val="auto"/>
        <w:outlineLvl w:val="0"/>
        <w:rPr>
          <w:rFonts w:asciiTheme="majorHAnsi" w:eastAsia="Times New Roman" w:hAnsiTheme="majorHAnsi" w:cstheme="majorHAnsi"/>
          <w:b/>
          <w:bCs/>
          <w:sz w:val="16"/>
          <w:szCs w:val="16"/>
          <w:lang w:val="x-none" w:eastAsia="x-none"/>
        </w:rPr>
      </w:pPr>
    </w:p>
    <w:tbl>
      <w:tblPr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7483"/>
        <w:gridCol w:w="603"/>
        <w:gridCol w:w="624"/>
        <w:gridCol w:w="1304"/>
        <w:gridCol w:w="1304"/>
        <w:gridCol w:w="1361"/>
      </w:tblGrid>
      <w:tr w:rsidR="001D6EAC" w:rsidRPr="000D7B04" w14:paraId="662FC595" w14:textId="77777777" w:rsidTr="001D6EAC">
        <w:trPr>
          <w:trHeight w:val="20"/>
          <w:jc w:val="center"/>
        </w:trPr>
        <w:tc>
          <w:tcPr>
            <w:tcW w:w="567" w:type="dxa"/>
            <w:shd w:val="clear" w:color="auto" w:fill="BFBFBF" w:themeFill="background1" w:themeFillShade="BF"/>
            <w:noWrap/>
            <w:vAlign w:val="center"/>
          </w:tcPr>
          <w:p w14:paraId="64878111" w14:textId="6E961A13" w:rsidR="00150CAF" w:rsidRPr="000D7B04" w:rsidRDefault="00150CAF" w:rsidP="00150CA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b/>
                <w:bCs/>
                <w:sz w:val="20"/>
              </w:rPr>
              <w:t>Lp.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3D6F535A" w14:textId="510A4B1D" w:rsidR="00150CAF" w:rsidRPr="000D7B04" w:rsidRDefault="00150CAF" w:rsidP="00150CA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b/>
                <w:bCs/>
                <w:sz w:val="20"/>
              </w:rPr>
              <w:t>Nazwa</w:t>
            </w:r>
          </w:p>
        </w:tc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4A0E29FE" w14:textId="0B7D37A4" w:rsidR="00150CAF" w:rsidRPr="000D7B04" w:rsidRDefault="00150CAF" w:rsidP="00D84C98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</w:rPr>
              <w:t>Opis</w:t>
            </w:r>
          </w:p>
        </w:tc>
        <w:tc>
          <w:tcPr>
            <w:tcW w:w="603" w:type="dxa"/>
            <w:shd w:val="clear" w:color="auto" w:fill="BFBFBF" w:themeFill="background1" w:themeFillShade="BF"/>
            <w:vAlign w:val="center"/>
          </w:tcPr>
          <w:p w14:paraId="683A19B8" w14:textId="3DC502EE" w:rsidR="00150CAF" w:rsidRPr="000D7B04" w:rsidRDefault="00150CAF" w:rsidP="00150CA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b/>
                <w:bCs/>
                <w:sz w:val="20"/>
              </w:rPr>
              <w:t>J.m.</w:t>
            </w:r>
          </w:p>
        </w:tc>
        <w:tc>
          <w:tcPr>
            <w:tcW w:w="624" w:type="dxa"/>
            <w:shd w:val="clear" w:color="auto" w:fill="BFBFBF" w:themeFill="background1" w:themeFillShade="BF"/>
            <w:noWrap/>
            <w:vAlign w:val="center"/>
            <w:hideMark/>
          </w:tcPr>
          <w:p w14:paraId="329C4B2E" w14:textId="1BB41FF1" w:rsidR="00150CAF" w:rsidRPr="000D7B04" w:rsidRDefault="00150CAF" w:rsidP="00150CA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b/>
                <w:bCs/>
                <w:sz w:val="20"/>
              </w:rPr>
              <w:t>Ilość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6574C2F8" w14:textId="77777777" w:rsidR="00150CAF" w:rsidRDefault="00150CAF" w:rsidP="00150CA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  <w:lang w:eastAsia="en-US"/>
              </w:rPr>
            </w:pPr>
            <w:r w:rsidRPr="000D7B04">
              <w:rPr>
                <w:rFonts w:asciiTheme="majorHAnsi" w:eastAsia="Times New Roman" w:hAnsiTheme="majorHAnsi" w:cstheme="majorHAnsi"/>
                <w:b/>
                <w:bCs/>
                <w:sz w:val="20"/>
                <w:lang w:eastAsia="en-US"/>
              </w:rPr>
              <w:t>Cena</w:t>
            </w:r>
          </w:p>
          <w:p w14:paraId="5AD7710B" w14:textId="5F15E165" w:rsidR="00150CAF" w:rsidRPr="000D7B04" w:rsidRDefault="00150CAF" w:rsidP="00150CA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  <w:lang w:eastAsia="en-US"/>
              </w:rPr>
            </w:pPr>
            <w:r w:rsidRPr="000D7B04">
              <w:rPr>
                <w:rFonts w:asciiTheme="majorHAnsi" w:eastAsia="Times New Roman" w:hAnsiTheme="majorHAnsi" w:cstheme="majorHAnsi"/>
                <w:b/>
                <w:bCs/>
                <w:sz w:val="20"/>
                <w:lang w:eastAsia="en-US"/>
              </w:rPr>
              <w:t>(brutto) zł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6D0E94CD" w14:textId="77777777" w:rsidR="00150CAF" w:rsidRDefault="00150CAF" w:rsidP="00150CA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  <w:lang w:eastAsia="en-US"/>
              </w:rPr>
            </w:pPr>
            <w:r w:rsidRPr="000D7B04">
              <w:rPr>
                <w:rFonts w:asciiTheme="majorHAnsi" w:eastAsia="Times New Roman" w:hAnsiTheme="majorHAnsi" w:cstheme="majorHAnsi"/>
                <w:b/>
                <w:bCs/>
                <w:sz w:val="20"/>
                <w:lang w:eastAsia="en-US"/>
              </w:rPr>
              <w:t>Wartość</w:t>
            </w:r>
          </w:p>
          <w:p w14:paraId="739AE746" w14:textId="0693BEE2" w:rsidR="00150CAF" w:rsidRPr="000D7B04" w:rsidRDefault="00150CAF" w:rsidP="00150CA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b/>
                <w:bCs/>
                <w:sz w:val="20"/>
                <w:lang w:eastAsia="en-US"/>
              </w:rPr>
              <w:t>(brutto) zł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14:paraId="18A75335" w14:textId="2ED493F4" w:rsidR="00150CAF" w:rsidRPr="000D7B04" w:rsidRDefault="00150CAF" w:rsidP="00150CA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b/>
                <w:bCs/>
                <w:sz w:val="20"/>
                <w:lang w:eastAsia="en-US"/>
              </w:rPr>
              <w:t>Marka i model oferowanego produktu</w:t>
            </w:r>
          </w:p>
        </w:tc>
      </w:tr>
      <w:tr w:rsidR="001D6EAC" w:rsidRPr="000D7B04" w14:paraId="314111C2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1BBE136" w14:textId="308D8E5E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2FBBA6AA" w14:textId="1774FBEC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Wąż W-25</w:t>
            </w:r>
          </w:p>
        </w:tc>
        <w:tc>
          <w:tcPr>
            <w:tcW w:w="7483" w:type="dxa"/>
            <w:tcBorders>
              <w:top w:val="single" w:sz="4" w:space="0" w:color="auto"/>
            </w:tcBorders>
          </w:tcPr>
          <w:p w14:paraId="4C0222D6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Średnica wewnętrzna [mm]: 25</w:t>
            </w:r>
          </w:p>
          <w:p w14:paraId="08FF57CB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Maksymalne ciśnienie robocze [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>]: 1,5</w:t>
            </w:r>
          </w:p>
          <w:p w14:paraId="46D7B760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Ciśnienie próbne [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>]: 2,25</w:t>
            </w:r>
          </w:p>
          <w:p w14:paraId="5CA2B34B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Ciśnienie rozrywające [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>]: 4,5</w:t>
            </w:r>
          </w:p>
          <w:p w14:paraId="68C520C8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Masa węża dł. 20m z łącznikami aluminiowymi STORZ [kg]: 2.6</w:t>
            </w:r>
          </w:p>
          <w:p w14:paraId="6D877F01" w14:textId="42B0EA71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 xml:space="preserve">Oplot: 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okrągłotkany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 xml:space="preserve"> z wysokiej jakości przędzy poliestrowej</w:t>
            </w:r>
          </w:p>
          <w:p w14:paraId="02204E37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Wykładzina wewnętrzna: PCV</w:t>
            </w:r>
          </w:p>
          <w:p w14:paraId="2C654968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Odporność na niskie temperatury: do -30°C</w:t>
            </w:r>
          </w:p>
          <w:p w14:paraId="44BDE1D1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Świadectwo dopuszczenia CNBOP : Tak</w:t>
            </w:r>
          </w:p>
          <w:p w14:paraId="438CE0E6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Długość węża [m]: 20</w:t>
            </w:r>
          </w:p>
          <w:p w14:paraId="3EEB37F6" w14:textId="0E9CA675" w:rsidR="00150CAF" w:rsidRPr="000D7B04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Kolor węża: Biały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14:paraId="5D57E10F" w14:textId="1C6DE4B2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tcBorders>
              <w:top w:val="single" w:sz="4" w:space="0" w:color="auto"/>
            </w:tcBorders>
            <w:noWrap/>
            <w:vAlign w:val="center"/>
          </w:tcPr>
          <w:p w14:paraId="05ACE31D" w14:textId="1210EEE5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6</w:t>
            </w:r>
          </w:p>
        </w:tc>
        <w:tc>
          <w:tcPr>
            <w:tcW w:w="1304" w:type="dxa"/>
            <w:vAlign w:val="center"/>
          </w:tcPr>
          <w:p w14:paraId="4B3B0D3C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6B8750D7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135350D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2354E473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285317BE" w14:textId="419B7222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16C2ACD1" w14:textId="7DF1563C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Wąż W-52</w:t>
            </w:r>
          </w:p>
        </w:tc>
        <w:tc>
          <w:tcPr>
            <w:tcW w:w="7483" w:type="dxa"/>
          </w:tcPr>
          <w:p w14:paraId="597DF922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Średnica wewnętrzna [mm]: 52</w:t>
            </w:r>
          </w:p>
          <w:p w14:paraId="50CB6697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Maksymalne ciśnienie robocze [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>]: 1,5</w:t>
            </w:r>
          </w:p>
          <w:p w14:paraId="262B9582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Ciśnienie próbne [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>]: 2,25</w:t>
            </w:r>
          </w:p>
          <w:p w14:paraId="71137038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Ciśnienie rozrywające [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>]: 4,5</w:t>
            </w:r>
          </w:p>
          <w:p w14:paraId="11C505F0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Masa węża dł. 20m z łącznikami aluminiowymi STORZ [kg]: 5,4</w:t>
            </w:r>
          </w:p>
          <w:p w14:paraId="4E8189C0" w14:textId="4ABED589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 xml:space="preserve">Oplot: 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okrągłotkany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 xml:space="preserve"> z wysokiej jakości przędzy poliestrowe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j</w:t>
            </w:r>
          </w:p>
          <w:p w14:paraId="5A8E621D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Wykładzina wewnętrzna: PCV</w:t>
            </w:r>
          </w:p>
          <w:p w14:paraId="2356EACC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Odporność na niskie temperatury: do -30°C</w:t>
            </w:r>
          </w:p>
          <w:p w14:paraId="587A5C0A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Świadectwo dopuszczenia CNBOP : Tak</w:t>
            </w:r>
          </w:p>
          <w:p w14:paraId="6929D3DB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Długość węża [m]: 20</w:t>
            </w:r>
          </w:p>
          <w:p w14:paraId="74E2298F" w14:textId="04B16BCD" w:rsidR="00150CAF" w:rsidRPr="000D7B04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Kolor węża: Biały</w:t>
            </w:r>
          </w:p>
        </w:tc>
        <w:tc>
          <w:tcPr>
            <w:tcW w:w="603" w:type="dxa"/>
            <w:vAlign w:val="center"/>
          </w:tcPr>
          <w:p w14:paraId="39ED6975" w14:textId="60CEB42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noWrap/>
            <w:vAlign w:val="center"/>
          </w:tcPr>
          <w:p w14:paraId="70146DEC" w14:textId="2EA982B0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15</w:t>
            </w:r>
          </w:p>
        </w:tc>
        <w:tc>
          <w:tcPr>
            <w:tcW w:w="1304" w:type="dxa"/>
            <w:vAlign w:val="center"/>
          </w:tcPr>
          <w:p w14:paraId="0EBABA75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0E8C641C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AE94DA7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0C5BFC68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ACCCF05" w14:textId="03764EDB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6E2EB1FA" w14:textId="2E864345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Wąż W-75</w:t>
            </w:r>
          </w:p>
        </w:tc>
        <w:tc>
          <w:tcPr>
            <w:tcW w:w="7483" w:type="dxa"/>
          </w:tcPr>
          <w:p w14:paraId="0C03F1F8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Średnica wewnętrzna [mm]: 75</w:t>
            </w:r>
          </w:p>
          <w:p w14:paraId="0E6660E8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Maksymalne ciśnienie robocze [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>]: 1,5</w:t>
            </w:r>
          </w:p>
          <w:p w14:paraId="08A06566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lastRenderedPageBreak/>
              <w:t>Ciśnienie próbne [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>]: 2,25</w:t>
            </w:r>
          </w:p>
          <w:p w14:paraId="0C5EA79D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Ciśnienie rozrywające [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>]: 4,5</w:t>
            </w:r>
          </w:p>
          <w:p w14:paraId="2650F64C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Masa węża dł. 20m z łącznikami aluminiowymi STORZ [kg]: 8,45</w:t>
            </w:r>
          </w:p>
          <w:p w14:paraId="0B05874C" w14:textId="2E6F10AB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 xml:space="preserve">Oplot: </w:t>
            </w:r>
            <w:proofErr w:type="spellStart"/>
            <w:r w:rsidRPr="005D30DF">
              <w:rPr>
                <w:rFonts w:asciiTheme="majorHAnsi" w:hAnsiTheme="majorHAnsi" w:cstheme="majorHAnsi"/>
                <w:bCs/>
                <w:sz w:val="20"/>
              </w:rPr>
              <w:t>okrągłotkany</w:t>
            </w:r>
            <w:proofErr w:type="spellEnd"/>
            <w:r w:rsidRPr="005D30DF">
              <w:rPr>
                <w:rFonts w:asciiTheme="majorHAnsi" w:hAnsiTheme="majorHAnsi" w:cstheme="majorHAnsi"/>
                <w:bCs/>
                <w:sz w:val="20"/>
              </w:rPr>
              <w:t xml:space="preserve"> z wysokiej jakości przędzy poliestrowej</w:t>
            </w:r>
          </w:p>
          <w:p w14:paraId="6E241F3C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Wykładzina wewnętrzna: PCV</w:t>
            </w:r>
          </w:p>
          <w:p w14:paraId="7ACF3C93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Odporność na niskie temperatury: do -30°C</w:t>
            </w:r>
          </w:p>
          <w:p w14:paraId="7B53D64C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Świadectwo dopuszczenia CNBOP : Tak</w:t>
            </w:r>
          </w:p>
          <w:p w14:paraId="5A512E66" w14:textId="77777777" w:rsidR="005D30DF" w:rsidRPr="005D30DF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Długość węża [m]: 20</w:t>
            </w:r>
          </w:p>
          <w:p w14:paraId="68DF43FB" w14:textId="776DE494" w:rsidR="00150CAF" w:rsidRPr="000D7B04" w:rsidRDefault="005D30D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5D30DF">
              <w:rPr>
                <w:rFonts w:asciiTheme="majorHAnsi" w:hAnsiTheme="majorHAnsi" w:cstheme="majorHAnsi"/>
                <w:bCs/>
                <w:sz w:val="20"/>
              </w:rPr>
              <w:t>Kolor węża: Biały</w:t>
            </w:r>
          </w:p>
        </w:tc>
        <w:tc>
          <w:tcPr>
            <w:tcW w:w="603" w:type="dxa"/>
            <w:vAlign w:val="center"/>
          </w:tcPr>
          <w:p w14:paraId="0F90B8AC" w14:textId="23615AA5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lastRenderedPageBreak/>
              <w:t>szt.</w:t>
            </w:r>
          </w:p>
        </w:tc>
        <w:tc>
          <w:tcPr>
            <w:tcW w:w="624" w:type="dxa"/>
            <w:vAlign w:val="center"/>
          </w:tcPr>
          <w:p w14:paraId="051803DC" w14:textId="380755F5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10</w:t>
            </w:r>
          </w:p>
        </w:tc>
        <w:tc>
          <w:tcPr>
            <w:tcW w:w="1304" w:type="dxa"/>
            <w:vAlign w:val="center"/>
          </w:tcPr>
          <w:p w14:paraId="23F4E6D3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36C25046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578E623F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5A283583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FEEDC60" w14:textId="6CBBEC7D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14:paraId="49892A5D" w14:textId="6FCF7120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Wąż W-110</w:t>
            </w:r>
          </w:p>
        </w:tc>
        <w:tc>
          <w:tcPr>
            <w:tcW w:w="7483" w:type="dxa"/>
          </w:tcPr>
          <w:p w14:paraId="4DE5A7FB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Średnica wewnętrzna [mm]: 110 -0,5/+1,5</w:t>
            </w:r>
          </w:p>
          <w:p w14:paraId="7E6A1941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Długość [m]: 20 +/-0,5</w:t>
            </w:r>
          </w:p>
          <w:p w14:paraId="4757C0FC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Maksymalne ciśnienie robocze [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>]: 1,2</w:t>
            </w:r>
          </w:p>
          <w:p w14:paraId="0C934C75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Ciśnienie próbne [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>]: 1,8</w:t>
            </w:r>
          </w:p>
          <w:p w14:paraId="09E8CDDE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Ciśnienie rozrywające [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>]: 3,6</w:t>
            </w:r>
          </w:p>
          <w:p w14:paraId="432E7B51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Masa węża dł. 20m z łącznikami aluminiowymi STORZ [kg]: 15,4 (PU)</w:t>
            </w:r>
          </w:p>
          <w:p w14:paraId="693D98B5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Oplot: okrągło tkany z wysokiej jakości przędzy poliestrowej</w:t>
            </w:r>
          </w:p>
          <w:p w14:paraId="7B184020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Wykładzina wewnętrzna: poliuretan (PU)</w:t>
            </w:r>
          </w:p>
          <w:p w14:paraId="25451188" w14:textId="75EC5B5A" w:rsidR="00150CAF" w:rsidRPr="000D7B04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Odporność na niskie temperatury: do-30</w:t>
            </w:r>
            <w:r w:rsidR="002838F8" w:rsidRPr="002838F8">
              <w:rPr>
                <w:rFonts w:asciiTheme="majorHAnsi" w:hAnsiTheme="majorHAnsi" w:cstheme="majorHAnsi"/>
                <w:bCs/>
                <w:sz w:val="20"/>
                <w:vertAlign w:val="superscript"/>
              </w:rPr>
              <w:t>0</w:t>
            </w:r>
            <w:r w:rsidRPr="00C435EF">
              <w:rPr>
                <w:rFonts w:asciiTheme="majorHAnsi" w:hAnsiTheme="majorHAnsi" w:cstheme="majorHAnsi"/>
                <w:bCs/>
                <w:sz w:val="20"/>
              </w:rPr>
              <w:t>C</w:t>
            </w:r>
          </w:p>
        </w:tc>
        <w:tc>
          <w:tcPr>
            <w:tcW w:w="603" w:type="dxa"/>
            <w:vAlign w:val="center"/>
          </w:tcPr>
          <w:p w14:paraId="067A7D77" w14:textId="583FDE6E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vAlign w:val="center"/>
          </w:tcPr>
          <w:p w14:paraId="432AB927" w14:textId="0C795E71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4</w:t>
            </w:r>
          </w:p>
        </w:tc>
        <w:tc>
          <w:tcPr>
            <w:tcW w:w="1304" w:type="dxa"/>
            <w:vAlign w:val="center"/>
          </w:tcPr>
          <w:p w14:paraId="322BDB20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04E2AF39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768CA5E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031A83CD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4AA4E39" w14:textId="006C7BD0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148788F2" w14:textId="0433C846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Ubranie specjalne dwuczęściowe</w:t>
            </w:r>
          </w:p>
        </w:tc>
        <w:tc>
          <w:tcPr>
            <w:tcW w:w="7483" w:type="dxa"/>
          </w:tcPr>
          <w:p w14:paraId="2EC6188B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Ubranie specjalne 2 częściowe zgodne z OPZ KG PSP</w:t>
            </w:r>
          </w:p>
          <w:p w14:paraId="00A846B8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</w:p>
          <w:p w14:paraId="52ADB97D" w14:textId="652FC4DD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Ubranie specjalne zgodne z rozporządzeniem w sprawie wykazu wyrobów służących zapewnieniu bezpieczeństwa publicznego lub ochronie zdrowia 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i</w:t>
            </w:r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 życia oraz mienia, a także zasad wydawania dopuszczenia tych wyrobów do użytkowania oraz zarządzeniem nr 9 Komendanta Głównego Państwowej Straży Pożarnej z dnia 17 lipca 2018 roku w sprawie wzorców (...) Odzieży specjalnej i środków ochrony indywidualnej użytkowanych w Państwowej Straży Pożarnej.</w:t>
            </w:r>
          </w:p>
          <w:p w14:paraId="6DB1D689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W skład ubrania specjalnego wchodzą:</w:t>
            </w:r>
          </w:p>
          <w:p w14:paraId="05513B7C" w14:textId="4DAB771D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Komplet - kurtka i spodnie spełniające wymogi normy PN-EN 469:2008 Odzież ochronna dla strażaków. Wymagania użytkowe dotyczące odzieży ochronnej przeznaczonej do akcji przeciwpożarowej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0DEB1693" w14:textId="56F6DE62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Tkanina zewn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ę</w:t>
            </w:r>
            <w:r w:rsidRPr="00C435EF">
              <w:rPr>
                <w:rFonts w:asciiTheme="majorHAnsi" w:hAnsiTheme="majorHAnsi" w:cstheme="majorHAnsi"/>
                <w:bCs/>
                <w:sz w:val="20"/>
              </w:rPr>
              <w:t>trzna: 75% Meta-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aramid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>, 23% Para-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aramid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>, 2% Włókna antystatyczne</w:t>
            </w:r>
          </w:p>
          <w:p w14:paraId="0ECDB5E2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Membrana: dwukomponentowa 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ePTFE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 zalaminowana we włókna (85% Meta-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aramid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>, 15% Para-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aramid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>)</w:t>
            </w:r>
          </w:p>
          <w:p w14:paraId="04C76696" w14:textId="36C72CDF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lastRenderedPageBreak/>
              <w:t xml:space="preserve">Warstwa termoizolacyjna: 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Wóknina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 (85% Meta-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aramid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>, 15% Para-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aramid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>) przepikowana do wewn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ę</w:t>
            </w:r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trznej podszewki 50% 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Aramid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, 50% </w:t>
            </w:r>
            <w:proofErr w:type="spellStart"/>
            <w:r w:rsidRPr="00C435EF">
              <w:rPr>
                <w:rFonts w:asciiTheme="majorHAnsi" w:hAnsiTheme="majorHAnsi" w:cstheme="majorHAnsi"/>
                <w:bCs/>
                <w:sz w:val="20"/>
              </w:rPr>
              <w:t>Viscose</w:t>
            </w:r>
            <w:proofErr w:type="spellEnd"/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 FR.</w:t>
            </w:r>
          </w:p>
          <w:p w14:paraId="422817E2" w14:textId="2BAF0DEC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Cechy charakterystyczne ubrania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3A481260" w14:textId="6DDB38AA" w:rsidR="002838F8" w:rsidRPr="002838F8" w:rsidRDefault="002838F8" w:rsidP="002838F8">
            <w:pPr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1. </w:t>
            </w:r>
            <w:r w:rsidRPr="002838F8">
              <w:rPr>
                <w:rFonts w:asciiTheme="majorHAnsi" w:hAnsiTheme="majorHAnsi" w:cstheme="majorHAnsi"/>
                <w:bCs/>
                <w:sz w:val="20"/>
              </w:rPr>
              <w:t xml:space="preserve">Kolor Ubrań specjalnych : Piaskowy </w:t>
            </w:r>
          </w:p>
          <w:p w14:paraId="1F88E50D" w14:textId="537FB26E" w:rsidR="00C435EF" w:rsidRPr="002838F8" w:rsidRDefault="002838F8" w:rsidP="002838F8">
            <w:pPr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2. </w:t>
            </w:r>
            <w:r w:rsidR="00C435EF" w:rsidRPr="002838F8">
              <w:rPr>
                <w:rFonts w:asciiTheme="majorHAnsi" w:hAnsiTheme="majorHAnsi" w:cstheme="majorHAnsi"/>
                <w:bCs/>
                <w:sz w:val="20"/>
              </w:rPr>
              <w:t>Bardzo niski wskaźnik oporu pary wodnej Ret poniżej 18 m2Pa/W</w:t>
            </w:r>
            <w:r w:rsidRP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2D90FA4" w14:textId="1B9ED65B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3. Otwory rewizyjne w kurtce i w spodniach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C39F0AE" w14:textId="37921EE0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4. Zamek błyskawiczny z systemem awaryjnego rozsuwania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5D2FE7A" w14:textId="7BB74B9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5. Ergonomiczny krój, wyprofilowania we wszystkich warstwach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A798229" w14:textId="41DBE65A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6. Rękawy wykończone ściągaczem elastycznym z otworem na kciuk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28331D7" w14:textId="2C20E656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7. Dolne krawędzie mankietów i nogawek oraz w dolnej części nogawek po wewnętrznej stronie pionowe szwy wykończone lamówką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5E1BE1DD" w14:textId="322D8F0D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8. Na łokciach i kolanach dodatkowe wzmocnienia chroniące stawy łokciowe i kolanowe wraz z wkładami amortyzującymi nacisk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EB4D68A" w14:textId="18D5B620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9. Na plecach i barkach wewnętrzne elementy amortyzujące naciski taśm nośnych aparatu oddechowego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2A97649E" w14:textId="59B8994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10. W każdej kieszeni kurtki karabińczyk i pętla do mocowania drobnego wyposażenia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CFBDE3D" w14:textId="19DD26B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11. Wielofunkcyjne kieszenie i obejmy do mocowania np. sygnalizatora bezruchu, latarek, rękawic, radiotelefonu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5897FA9" w14:textId="67492EEA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12. Patki kieszeni wykończone uchwytami ułatwiającymi dostęp do kieszeni bez zdejmowania rękawic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519B8E1F" w14:textId="2CD54F50" w:rsidR="00C435EF" w:rsidRPr="000D7B04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13. Perforowane taśmy odblaskowe i fluorescencyjne o właściwościach odblaskowych</w:t>
            </w:r>
            <w:r w:rsidR="002838F8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  <w:tc>
          <w:tcPr>
            <w:tcW w:w="603" w:type="dxa"/>
            <w:vAlign w:val="center"/>
          </w:tcPr>
          <w:p w14:paraId="697D8D2D" w14:textId="65BE53A3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lastRenderedPageBreak/>
              <w:t>szt.</w:t>
            </w:r>
          </w:p>
        </w:tc>
        <w:tc>
          <w:tcPr>
            <w:tcW w:w="624" w:type="dxa"/>
            <w:vAlign w:val="center"/>
          </w:tcPr>
          <w:p w14:paraId="109DDA1B" w14:textId="2728BEA3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12</w:t>
            </w:r>
          </w:p>
        </w:tc>
        <w:tc>
          <w:tcPr>
            <w:tcW w:w="1304" w:type="dxa"/>
            <w:vAlign w:val="center"/>
          </w:tcPr>
          <w:p w14:paraId="388E11A1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2AB9748D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7B919AB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02ECA7DB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7E841183" w14:textId="5CD68C8A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14:paraId="2BA0CE0B" w14:textId="5196CB6B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 xml:space="preserve">Ubranie koszarowe </w:t>
            </w:r>
          </w:p>
        </w:tc>
        <w:tc>
          <w:tcPr>
            <w:tcW w:w="7483" w:type="dxa"/>
          </w:tcPr>
          <w:p w14:paraId="7119EA26" w14:textId="77777777" w:rsidR="00035CCC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Wysokiej jakości ubranie koszarowe RIBSTOP 4-częściowe, składające się z kurtki (bluzy), spodni, kamizelki bez rękawów i czapki dżokejki. Tkanina to wzmocniona bawełna w formie kratki.</w:t>
            </w:r>
          </w:p>
          <w:p w14:paraId="1F410C25" w14:textId="4260509A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Oznakowanie: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C435EF">
              <w:rPr>
                <w:rFonts w:asciiTheme="majorHAnsi" w:hAnsiTheme="majorHAnsi" w:cstheme="majorHAnsi"/>
                <w:bCs/>
                <w:sz w:val="20"/>
              </w:rPr>
              <w:t>Napisy "STRAŻ" na żółtej tkaninie fluorescencyjnej na plecach i na lewej piersi bluzy i kamizelki, taśma odblaskowa żółta z trójkątami ostrzegawczymi srebrnymi na nogawkach spodni oraz nad prawą górną kieszenią kamizelki oraz w dolnej tylnej części kamizelki.</w:t>
            </w:r>
          </w:p>
          <w:p w14:paraId="69495511" w14:textId="5BD6E297" w:rsidR="00C435EF" w:rsidRPr="000D7B04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Kamizelka w wersji bez rękawów, tkanina bawełniana RIB-STOP wzór zatwierdzony przez KG PSP dnia 27.10.2003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r.</w:t>
            </w:r>
          </w:p>
        </w:tc>
        <w:tc>
          <w:tcPr>
            <w:tcW w:w="603" w:type="dxa"/>
            <w:vAlign w:val="center"/>
          </w:tcPr>
          <w:p w14:paraId="417A863A" w14:textId="57A82968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vAlign w:val="center"/>
          </w:tcPr>
          <w:p w14:paraId="147C256E" w14:textId="612645C9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5</w:t>
            </w:r>
          </w:p>
        </w:tc>
        <w:tc>
          <w:tcPr>
            <w:tcW w:w="1304" w:type="dxa"/>
            <w:vAlign w:val="center"/>
          </w:tcPr>
          <w:p w14:paraId="6B49EF61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24B4B53F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399EB82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24C07E5F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14B0AF53" w14:textId="5AF82CB9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 w14:paraId="5942BE1F" w14:textId="2106A53C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Zestaw PSP R1 w torbie</w:t>
            </w:r>
          </w:p>
        </w:tc>
        <w:tc>
          <w:tcPr>
            <w:tcW w:w="7483" w:type="dxa"/>
          </w:tcPr>
          <w:p w14:paraId="3AB49B4A" w14:textId="22DF5213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Zestaw przeznaczony dla wykwalifikowanych strażaków ratowników oraz dla jednostek ratowniczych wchodzących w skład Krajowego Systemu Ratowniczo-Gaśniczego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3DB626C5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Zestaw zawiera wszystkie elementy zgodnie z wytycznymi Komendanta Głównego PSP z czerwca 2021 roku.</w:t>
            </w:r>
          </w:p>
          <w:p w14:paraId="0FFA38F3" w14:textId="30EB86F5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lastRenderedPageBreak/>
              <w:t>Skład zestawu ratowniczego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53BBAEB1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1. Zabezpieczenie lub / i przywrócenie drożności dróg oddechowych.</w:t>
            </w:r>
          </w:p>
          <w:p w14:paraId="7199C76D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2. Prowadzenie oddechu kontrolowanego lub wspomaganego oraz tlenoterapii.</w:t>
            </w:r>
          </w:p>
          <w:p w14:paraId="01A98F31" w14:textId="1CF6DB2D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 xml:space="preserve">Zestaw rurek ustno-gardłowych </w:t>
            </w:r>
            <w:proofErr w:type="spellStart"/>
            <w:r w:rsidRPr="00035CCC">
              <w:rPr>
                <w:rFonts w:asciiTheme="majorHAnsi" w:hAnsiTheme="majorHAnsi" w:cstheme="majorHAnsi"/>
                <w:bCs/>
                <w:sz w:val="20"/>
              </w:rPr>
              <w:t>Guedela</w:t>
            </w:r>
            <w:proofErr w:type="spellEnd"/>
            <w:r w:rsidRPr="00035CCC">
              <w:rPr>
                <w:rFonts w:asciiTheme="majorHAnsi" w:hAnsiTheme="majorHAnsi" w:cstheme="majorHAnsi"/>
                <w:bCs/>
                <w:sz w:val="20"/>
              </w:rPr>
              <w:t>, (rozmiary 0-5) – 6 sztuk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0E70518" w14:textId="4542FD4D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Maski krtaniowe ze strzykawką napełniającą (rozmiary 3, 4, 5) – 3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9BB4FB3" w14:textId="35FC5667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 w:rsidRPr="00035CCC">
              <w:rPr>
                <w:rFonts w:asciiTheme="majorHAnsi" w:hAnsiTheme="majorHAnsi" w:cstheme="majorHAnsi"/>
                <w:bCs/>
                <w:sz w:val="20"/>
              </w:rPr>
              <w:t>Lubrykant</w:t>
            </w:r>
            <w:proofErr w:type="spellEnd"/>
            <w:r w:rsidRPr="00035CCC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proofErr w:type="spellStart"/>
            <w:r w:rsidRPr="00035CCC">
              <w:rPr>
                <w:rFonts w:asciiTheme="majorHAnsi" w:hAnsiTheme="majorHAnsi" w:cstheme="majorHAnsi"/>
                <w:bCs/>
                <w:sz w:val="20"/>
              </w:rPr>
              <w:t>Optilube</w:t>
            </w:r>
            <w:proofErr w:type="spellEnd"/>
            <w:r w:rsidRPr="00035CCC">
              <w:rPr>
                <w:rFonts w:asciiTheme="majorHAnsi" w:hAnsiTheme="majorHAnsi" w:cstheme="majorHAnsi"/>
                <w:bCs/>
                <w:sz w:val="20"/>
              </w:rPr>
              <w:t xml:space="preserve">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1ED4D22" w14:textId="27E65C28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 w:rsidRPr="00035CCC">
              <w:rPr>
                <w:rFonts w:asciiTheme="majorHAnsi" w:hAnsiTheme="majorHAnsi" w:cstheme="majorHAnsi"/>
                <w:bCs/>
                <w:sz w:val="20"/>
              </w:rPr>
              <w:t>Pulsoksymetr</w:t>
            </w:r>
            <w:proofErr w:type="spellEnd"/>
            <w:r w:rsidRPr="00035CCC">
              <w:rPr>
                <w:rFonts w:asciiTheme="majorHAnsi" w:hAnsiTheme="majorHAnsi" w:cstheme="majorHAnsi"/>
                <w:bCs/>
                <w:sz w:val="20"/>
              </w:rPr>
              <w:t xml:space="preserve"> medyczny (opcjonalnie model z możliwością pomiaru Et CO2)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7B4F9A7" w14:textId="4B6A287F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Ssak ręczny przeznaczony do odsysania wydzielin z jamy ustnej, zawierający cewnik dla pacjentów dorosłych i pediatrycznych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4DA4F84" w14:textId="5A8E58DD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Resuscytator dla osób dorosłych umożliwiający wentylację bierną i czynną 100% tlenem ze złączką i rezerwuarem tlenu 2500ml, maską twarzową nr 5 oraz przewodem tlenowym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629383F" w14:textId="4D718CB4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Resuscytator pediatryczny umożliwiający wentylację bierną i czynną 100% tlenem ze złączką i rezerwuarem tlenu 2500ml, maską twarzową nr 3 oraz przewodem tlenowym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65F92B1" w14:textId="182FC21D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Dodatkowa maska twarzowa do resuscytatora dla osób dorosłych (rozmiar nr 4) i dzieci (rozmiar nr 2) – po 1 sztuce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B8B66EC" w14:textId="7B369B83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Przewód tlenowy o długości 10m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DF81E4F" w14:textId="78F8EDA4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Kaniule nosowe (wąsy tlenowe) – 3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2AFADD8" w14:textId="00C1B2EE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Jałowe filtry antybakteryjne HME – 5 sztuk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8ACF5BD" w14:textId="5EF1BCCA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Maska tlenowa dla osoby dorosłej z rezerwuarem wysokiej koncentracji tlenu (96%) i przewodami tlenowymi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E5C04F7" w14:textId="2EDCC20B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Maska tlenowa pediatryczna z rezerwuarem wysokiej koncentracji tlenu (96%) i przewodami tlenowymi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B373F23" w14:textId="660CE993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Butla aluminiowa/stalowa na tlen medyczny (400 litrów O2 przy ciśnieniu roboczym 150/200 bar) z zaworem w wersji DIN ¾’ z możliwością pracy w pionie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17DFF86" w14:textId="1869947B" w:rsidR="00C435EF" w:rsidRPr="00035CCC" w:rsidRDefault="00C435EF" w:rsidP="001D6EAC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Reduktor tlenowy z szybkozłączem typu AGA, z możliwością regulacji tlenu 0-25 l/min i przyłączem DIN G 3/4 cala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0DFCD193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3. Unieruchomienie złamań oraz podejrzeń złamań i zwichnięć</w:t>
            </w:r>
          </w:p>
          <w:p w14:paraId="3700B01F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</w:p>
          <w:p w14:paraId="30716630" w14:textId="6954C18F" w:rsidR="00C435EF" w:rsidRPr="00035CCC" w:rsidRDefault="00C435EF" w:rsidP="001D6EAC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Kołnierz ortopedyczny, regulowany dla osób dorosłych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969F983" w14:textId="7392763E" w:rsidR="00C435EF" w:rsidRPr="00035CCC" w:rsidRDefault="00C435EF" w:rsidP="001D6EAC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Kołnierz ortopedyczny, regulowany dla pacjentów pediatrycznych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195C14D" w14:textId="65923E68" w:rsidR="00C435EF" w:rsidRPr="00035CCC" w:rsidRDefault="00C435EF" w:rsidP="001D6EAC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Pas do stabilizacji złamań miednicy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C1F5C04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4. Zapewnienie komfortu termicznego</w:t>
            </w:r>
          </w:p>
          <w:p w14:paraId="4B08AF67" w14:textId="0E351EE7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lastRenderedPageBreak/>
              <w:t>Koc ratunkowy NRC (folia życia) – 5 sztuk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0E008194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5. Tamowanie krwotoków i opatrywanie ran</w:t>
            </w:r>
          </w:p>
          <w:p w14:paraId="42C9CB2D" w14:textId="26EF3D77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Opatrunek indywidualny typu izraelskiego, hermetycznie pakowany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52845217" w14:textId="4315C4E3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Kompresy gazowe jałowe, 10 x 10 cm, A3 – 10 sztuk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94E26E7" w14:textId="352F1D52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Gaza opatrunkowa jałowa, 1/2 m2 – 5 sztuk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6375100" w14:textId="6B8498FF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Gaza opatrunkowa jałowa, 1 m2 – 5 sztuk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32B21C1" w14:textId="58EE500B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Opaska dziana podtrzymująca, 10 cm x 4 m – 8 sztuk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8BA97CA" w14:textId="498194EE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Chusta trójkątna tekstylna – 4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295E26CE" w14:textId="0B3B4DA0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Opaska elastyczna, 10 cm x 4 m – 3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C038195" w14:textId="7D1D9A75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Opaska elastyczna, 12 cm x 4 m – 3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D8EF550" w14:textId="73BB8891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Elastyczna siatka opatrunkowa nr 6 – 3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065E325" w14:textId="7C730B7F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Plaster tkaninowy z opatrunkiem w rozmiarze 6 cm x 1 m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5FC7B730" w14:textId="648D0BD5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Przylepiec bez opatrunku w rozmiarze 5 cm x 5 m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BCBA7D9" w14:textId="120BDE99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Opatrunek wentylowy do zabezpieczenia rany ssącej klatki piersiowej z płaskim zaworem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EF2F7EA" w14:textId="6C673C7E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Opaska zaciskowa, taktyczna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A1D9BCE" w14:textId="4F888E5B" w:rsidR="00C435EF" w:rsidRPr="00035CCC" w:rsidRDefault="00C435EF" w:rsidP="001D6EAC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Militarny opatrunek hemostatyczny na gazie KLOTPAD Z-FOLD, 7,5 cm x 3,7 m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4B988BE7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6. Opatrywanie oparzeń</w:t>
            </w:r>
          </w:p>
          <w:p w14:paraId="37B2486A" w14:textId="15E898D6" w:rsidR="00C435EF" w:rsidRPr="00035CCC" w:rsidRDefault="00C435EF" w:rsidP="001D6EAC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Żel schładzający WATER JEL o pojemności 120ml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D90D570" w14:textId="173BF68D" w:rsidR="00C435EF" w:rsidRPr="00035CCC" w:rsidRDefault="00C435EF" w:rsidP="001D6EAC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Opatrunek hydrożelowy na twarz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858F5BD" w14:textId="3EB3E1C2" w:rsidR="00C435EF" w:rsidRPr="00035CCC" w:rsidRDefault="00C435EF" w:rsidP="001D6EAC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Zestaw opatrunków hydrożelowych o łącznej powierzchni powyżej 4000 cm2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5D6FE0FD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7. Ochrona osobista</w:t>
            </w:r>
          </w:p>
          <w:p w14:paraId="1A30B505" w14:textId="13C72D90" w:rsidR="00C435EF" w:rsidRPr="00035CCC" w:rsidRDefault="00C435EF" w:rsidP="001D6EAC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Maseczka chirurgiczna dla poszkodowanego – 6 sztuk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599D4633" w14:textId="5B2B9A31" w:rsidR="00C435EF" w:rsidRPr="00035CCC" w:rsidRDefault="00C435EF" w:rsidP="001D6EAC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Maseczka FFP 2 / FFP3 dla ratownika – 4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19AF403" w14:textId="32C74270" w:rsidR="00C435EF" w:rsidRPr="00035CCC" w:rsidRDefault="00C435EF" w:rsidP="001D6EAC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Okulary ochronne – 2 sztuki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08FD6A1" w14:textId="214C8719" w:rsidR="00C435EF" w:rsidRPr="00035CCC" w:rsidRDefault="00C435EF" w:rsidP="001D6EAC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Środek do dezynfekcji skóry i rąk AHD 1000, 250 ml</w:t>
            </w:r>
            <w:r w:rsidR="00035CCC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70BF499E" w14:textId="77777777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8. Zestaw uzupełniający</w:t>
            </w:r>
          </w:p>
          <w:p w14:paraId="1D38F6D1" w14:textId="13BB889E" w:rsidR="00C435EF" w:rsidRPr="00035CCC" w:rsidRDefault="00C435EF" w:rsidP="001D6EAC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Aparat do płukania oka z bocznym odpływem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2D617430" w14:textId="1C74D491" w:rsidR="00C435EF" w:rsidRPr="00035CCC" w:rsidRDefault="00C435EF" w:rsidP="001D6EAC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Worek na odpady medyczne w kolorze czerwonym – 2 sztuki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EB31B20" w14:textId="490B8260" w:rsidR="00C435EF" w:rsidRPr="00035CCC" w:rsidRDefault="00C435EF" w:rsidP="001D6EAC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Nożyczki ratownicze ze stopką, wzmacniane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8244B42" w14:textId="599567D7" w:rsidR="00C435EF" w:rsidRPr="00035CCC" w:rsidRDefault="00C435EF" w:rsidP="001D6EAC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Folia do przykrywania zwłok – 3 sztuki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367D207" w14:textId="53BD85DC" w:rsidR="00C435EF" w:rsidRPr="00035CCC" w:rsidRDefault="00C435EF" w:rsidP="001D6EAC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t>Sól fizjologiczna NaCl 0.9%, 250 ml – 2 sztuki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0F15971" w14:textId="28C53233" w:rsidR="00C435EF" w:rsidRPr="00035CCC" w:rsidRDefault="00C435EF" w:rsidP="001D6EAC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035CCC">
              <w:rPr>
                <w:rFonts w:asciiTheme="majorHAnsi" w:hAnsiTheme="majorHAnsi" w:cstheme="majorHAnsi"/>
                <w:bCs/>
                <w:sz w:val="20"/>
              </w:rPr>
              <w:lastRenderedPageBreak/>
              <w:t>Zestaw amputacyjny: 2 sztuki worków na amputowane części ciała i błyskawiczny kompres chłodzący (suchy lód)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6ED6DCE0" w14:textId="292D94ED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Plecak modułowy, dzięki czemu większość wyposażenia 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 xml:space="preserve">jest </w:t>
            </w:r>
            <w:r w:rsidRPr="00C435EF">
              <w:rPr>
                <w:rFonts w:asciiTheme="majorHAnsi" w:hAnsiTheme="majorHAnsi" w:cstheme="majorHAnsi"/>
                <w:bCs/>
                <w:sz w:val="20"/>
              </w:rPr>
              <w:t>umieszczon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a</w:t>
            </w:r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 w saszetkach segregacyjnych o różnych kolorach. Saszetki podzielone na konkretne typy urazów i działania ratownicze. Plecak wyposażony w 10 saszetek oraz torbę na opatrunki hydrożelowe. Każda z saszetek posiada przeźroczyste okienko pozwalające na kontrolowanie zawartości bez otwierania jej oraz wygodne rączki, na których umieszczono miejsca na plakietki informujące o rodzaju wyposażenia.</w:t>
            </w:r>
          </w:p>
          <w:p w14:paraId="305EE0C1" w14:textId="54B7071D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Najważniejsze cechy torby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50E4858C" w14:textId="23696973" w:rsidR="00C435EF" w:rsidRPr="0061007E" w:rsidRDefault="00C435EF" w:rsidP="001D6EAC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wymiary torby: 80 x 36 x 30 cm (szerokość x wysokość x głębokość)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9E42ADE" w14:textId="626A5D3A" w:rsidR="00C435EF" w:rsidRPr="0061007E" w:rsidRDefault="00C435EF" w:rsidP="001D6EAC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projekt torby składa się z komory głównej oraz czterech kieszeni – dwóch bocznych oraz małej i dużej frontalnej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EF15188" w14:textId="25875735" w:rsidR="00C435EF" w:rsidRPr="0061007E" w:rsidRDefault="00C435EF" w:rsidP="001D6EAC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możliwość przenoszenia torby w ręku za pomocą uchwytu lub na ramieniu za pomocą paska oraz jako plecak dzięki chowanym z tyłu wygodnym szelkom z systemem pasów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AD1AE2B" w14:textId="54295DA0" w:rsidR="00C435EF" w:rsidRPr="0061007E" w:rsidRDefault="00C435EF" w:rsidP="001D6EAC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wiele elementów odblaskowych przeszytych mocnymi nićmi w trzech miejscach wzdłuż krawędzi dla zapewnienia maksymalnej trwałości i ochrony przed zerwaniem. Z przodu torby umieszczono emblemat gwiazdy życia i plakietkę PSP, natomiast na prawej kieszeni rzep z miejscem na emblemat jednostki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728DC0E" w14:textId="716CCE70" w:rsidR="00150CAF" w:rsidRPr="0061007E" w:rsidRDefault="00C435EF" w:rsidP="001D6EAC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spód torby zabezpieczon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y</w:t>
            </w:r>
            <w:r w:rsidRPr="0061007E">
              <w:rPr>
                <w:rFonts w:asciiTheme="majorHAnsi" w:hAnsiTheme="majorHAnsi" w:cstheme="majorHAnsi"/>
                <w:bCs/>
                <w:sz w:val="20"/>
              </w:rPr>
              <w:t xml:space="preserve"> element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ami</w:t>
            </w:r>
            <w:r w:rsidRPr="0061007E">
              <w:rPr>
                <w:rFonts w:asciiTheme="majorHAnsi" w:hAnsiTheme="majorHAnsi" w:cstheme="majorHAnsi"/>
                <w:bCs/>
                <w:sz w:val="20"/>
              </w:rPr>
              <w:t xml:space="preserve"> ochronny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mi</w:t>
            </w:r>
            <w:r w:rsidRPr="0061007E">
              <w:rPr>
                <w:rFonts w:asciiTheme="majorHAnsi" w:hAnsiTheme="majorHAnsi" w:cstheme="majorHAnsi"/>
                <w:bCs/>
                <w:sz w:val="20"/>
              </w:rPr>
              <w:t xml:space="preserve"> z wytrzymałej gumy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  <w:tc>
          <w:tcPr>
            <w:tcW w:w="603" w:type="dxa"/>
            <w:vAlign w:val="center"/>
          </w:tcPr>
          <w:p w14:paraId="26AB2B5A" w14:textId="3D5168A8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lastRenderedPageBreak/>
              <w:t>szt.</w:t>
            </w:r>
          </w:p>
        </w:tc>
        <w:tc>
          <w:tcPr>
            <w:tcW w:w="624" w:type="dxa"/>
            <w:vAlign w:val="center"/>
          </w:tcPr>
          <w:p w14:paraId="0FAAE919" w14:textId="1450104E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2ABD2FE9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5CC60D9E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5053B4B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64CC785E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8E02DC7" w14:textId="7DD8A885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lastRenderedPageBreak/>
              <w:t>8</w:t>
            </w:r>
          </w:p>
        </w:tc>
        <w:tc>
          <w:tcPr>
            <w:tcW w:w="1417" w:type="dxa"/>
            <w:noWrap/>
            <w:vAlign w:val="center"/>
          </w:tcPr>
          <w:p w14:paraId="0B48FFBE" w14:textId="16FDAEB7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Buty gumowe FHR 003</w:t>
            </w:r>
          </w:p>
        </w:tc>
        <w:tc>
          <w:tcPr>
            <w:tcW w:w="7483" w:type="dxa"/>
          </w:tcPr>
          <w:p w14:paraId="2ABDCD9D" w14:textId="64C2750A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 xml:space="preserve">Buty 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 xml:space="preserve">strażackie </w:t>
            </w:r>
            <w:r w:rsidRPr="00C435EF">
              <w:rPr>
                <w:rFonts w:asciiTheme="majorHAnsi" w:hAnsiTheme="majorHAnsi" w:cstheme="majorHAnsi"/>
                <w:bCs/>
                <w:sz w:val="20"/>
              </w:rPr>
              <w:t>gumowe o właściwościach elektroizolacyjnych wyposażone w wyjmowaną wewnętrzną wkładkę ocieplającą/skarpetę.</w:t>
            </w:r>
          </w:p>
          <w:p w14:paraId="4E85D228" w14:textId="386AF04A" w:rsidR="00C435EF" w:rsidRPr="00C435EF" w:rsidRDefault="00C435EF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C435EF">
              <w:rPr>
                <w:rFonts w:asciiTheme="majorHAnsi" w:hAnsiTheme="majorHAnsi" w:cstheme="majorHAnsi"/>
                <w:bCs/>
                <w:sz w:val="20"/>
              </w:rPr>
              <w:t>Cechy charakterystyczne butów gumowych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5E926302" w14:textId="499E7A51" w:rsidR="00C435EF" w:rsidRPr="0061007E" w:rsidRDefault="00C435EF" w:rsidP="001D6EAC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Trzeci stopień odporności termicznej (HI3)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793674F" w14:textId="5FC740CD" w:rsidR="00C435EF" w:rsidRPr="0061007E" w:rsidRDefault="00C435EF" w:rsidP="001D6EAC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Stalowe wzmocnienie noska buta (SB)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A8A9F9E" w14:textId="7A0DEE55" w:rsidR="00C435EF" w:rsidRPr="0061007E" w:rsidRDefault="00C435EF" w:rsidP="001D6EAC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Właściwości elektroizolacyjne – klasa 0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259DAEF" w14:textId="037D285F" w:rsidR="00C435EF" w:rsidRPr="0061007E" w:rsidRDefault="00C435EF" w:rsidP="001D6EAC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Odporne na przebicie podeszwy (P)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CCFD1EC" w14:textId="738270CB" w:rsidR="00C435EF" w:rsidRPr="0061007E" w:rsidRDefault="00C435EF" w:rsidP="001D6EAC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Odporne na poślizg (SRA) i na olej (FO)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41735CB" w14:textId="6E2E02FF" w:rsidR="00C435EF" w:rsidRPr="0061007E" w:rsidRDefault="00C435EF" w:rsidP="001D6EAC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Odporne na wysoką temperaturę (HRO) – cholewy odporne na płomień i promieniowanie cieplne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0522B18" w14:textId="7635D629" w:rsidR="00C435EF" w:rsidRPr="0061007E" w:rsidRDefault="00C435EF" w:rsidP="001D6EAC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Absorbujące energię obszaru pięty (E) powyżej 20 J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D003284" w14:textId="0A65E7E5" w:rsidR="00C435EF" w:rsidRPr="0061007E" w:rsidRDefault="00C435EF" w:rsidP="001D6EAC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Izolujące ciepło zespołu podeszwy (HI)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96369E0" w14:textId="61E43FC0" w:rsidR="00150CAF" w:rsidRPr="0061007E" w:rsidRDefault="00C435EF" w:rsidP="001D6EAC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61007E">
              <w:rPr>
                <w:rFonts w:asciiTheme="majorHAnsi" w:hAnsiTheme="majorHAnsi" w:cstheme="majorHAnsi"/>
                <w:bCs/>
                <w:sz w:val="20"/>
              </w:rPr>
              <w:t>Zabezpieczające przed przesiąkaniem wody do wnętrza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</w:tc>
        <w:tc>
          <w:tcPr>
            <w:tcW w:w="603" w:type="dxa"/>
            <w:vAlign w:val="center"/>
          </w:tcPr>
          <w:p w14:paraId="1583E672" w14:textId="758EFBEB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vAlign w:val="center"/>
          </w:tcPr>
          <w:p w14:paraId="002C56AB" w14:textId="5E8E4378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5</w:t>
            </w:r>
          </w:p>
        </w:tc>
        <w:tc>
          <w:tcPr>
            <w:tcW w:w="1304" w:type="dxa"/>
            <w:vAlign w:val="center"/>
          </w:tcPr>
          <w:p w14:paraId="40059AE3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3EF42BD5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8425BE7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63F0F1AB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803A2BF" w14:textId="7BC5E50F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lastRenderedPageBreak/>
              <w:t>9</w:t>
            </w:r>
          </w:p>
        </w:tc>
        <w:tc>
          <w:tcPr>
            <w:tcW w:w="1417" w:type="dxa"/>
            <w:noWrap/>
            <w:vAlign w:val="center"/>
          </w:tcPr>
          <w:p w14:paraId="6E876728" w14:textId="1D2453A3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Środek pianotwórczy 200 kg</w:t>
            </w:r>
          </w:p>
        </w:tc>
        <w:tc>
          <w:tcPr>
            <w:tcW w:w="7483" w:type="dxa"/>
          </w:tcPr>
          <w:p w14:paraId="6C16EAA4" w14:textId="45383DBA" w:rsidR="00DD7345" w:rsidRPr="00DD7345" w:rsidRDefault="0061007E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S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yntetyczny środ</w:t>
            </w:r>
            <w:r>
              <w:rPr>
                <w:rFonts w:asciiTheme="majorHAnsi" w:hAnsiTheme="majorHAnsi" w:cstheme="majorHAnsi"/>
                <w:bCs/>
                <w:sz w:val="20"/>
              </w:rPr>
              <w:t>ek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 pianotwórczy wykorzystywany do gaszenia pożarów z grupy A i B (według PN-EN 2:1998). Środek umożliwia wytworzenie mechanicznych pian gaśniczych: lekkiej, średniej i ciężkiej. Do produkcji środka gaśniczego wykorzystuje się </w:t>
            </w:r>
            <w:proofErr w:type="spellStart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wysokopieniące</w:t>
            </w:r>
            <w:proofErr w:type="spellEnd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 związki powierzchniowo czynne dlatego jest on bardzo efektywny a wytworzona piana gaśnicza jest odporna na wykraplanie i działanie wysokich temperatur.</w:t>
            </w:r>
          </w:p>
          <w:p w14:paraId="679CEB45" w14:textId="1D554156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Gwarancja 6 lat licząc od daty produkcji - po tym okresie produkt może być stosowany po sprawdzeniu zgodności parametrów z wymaganiami technicznymi.</w:t>
            </w:r>
          </w:p>
          <w:p w14:paraId="09FAA3EA" w14:textId="6AB83451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Specyfikacja produktu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354EF145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Klasa gaśnicza III B.</w:t>
            </w:r>
          </w:p>
          <w:p w14:paraId="308AC2A1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Łatwa biodegradowalność.</w:t>
            </w:r>
          </w:p>
          <w:p w14:paraId="633FEDE7" w14:textId="77777777" w:rsidR="00150CAF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Temperatura stosowania -13°C.</w:t>
            </w:r>
          </w:p>
          <w:p w14:paraId="46FAC765" w14:textId="6C1B515A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Wygląd zewnętrzny: jednorodna ciecz barwy niebieskiej do zielonej (w temperaturze 20-25 °C)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DC045F6" w14:textId="6F0CECBE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Zapach: charakterystyczny dla butanolu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264B059" w14:textId="2FBBBB7C" w:rsidR="00DD7345" w:rsidRPr="000D7B04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Temperatura krzepnięcia, °C: -16 ± 2</w:t>
            </w:r>
            <w:r w:rsidR="0061007E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  <w:tc>
          <w:tcPr>
            <w:tcW w:w="603" w:type="dxa"/>
            <w:vAlign w:val="center"/>
          </w:tcPr>
          <w:p w14:paraId="596936B3" w14:textId="45E16175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vAlign w:val="center"/>
          </w:tcPr>
          <w:p w14:paraId="34645DF9" w14:textId="12BF4935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0975F759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1C9E05A5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54B4708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2FAA33CD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2D354B17" w14:textId="536DAB9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708E698D" w14:textId="15A94DB0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Aparat powietrzny - butla kompozytowa</w:t>
            </w:r>
          </w:p>
        </w:tc>
        <w:tc>
          <w:tcPr>
            <w:tcW w:w="7483" w:type="dxa"/>
          </w:tcPr>
          <w:p w14:paraId="0E8852FA" w14:textId="56CE4399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Aparat powietrzny z maską i butlą kompozytową 7l/300 bar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2D41D533" w14:textId="0DA35BC4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Nadciśnienie w masce wytwarzane jest automatycznie, w momencie wpięcia automatu do maski. Automat wyposażony jest w „BEZPIECZNY” łącznik typu „ZENITH” (z dwupunktowym systemem przycisków wypinających). Wytworzone w masce nadciśnienie wynosi ±3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Mbar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0A4BC9A9" w14:textId="35DEB061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A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 xml:space="preserve">utomat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uruchamiany pierwszym wdechem. Zwarta, wytrzymała konstrukcja zapewniająca wysoki komfort oddychania. Brak zewnętrznych elementów, brak mechanizmów, wszystkie elementy chronione gumowymi osłonami. Maska mocowana szybkozłączem. Aktywacja pierwszym wdechem. Centralnie usytuowany By pass i duży przycisk odpowietrzający.</w:t>
            </w:r>
          </w:p>
          <w:p w14:paraId="6131F9D0" w14:textId="4702F785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Reduktor typu tłokowego, przystosowany do ciśnienia 200 lub 300 bar. Wyposażony w drugie wyjście średniego ciśnienia umożliwiające podłączenie: drugiego użytkownika lub osoby ratowanej, systemu wentylacji ubrań gazoszczelnych. Montowany na ruchomym zawiasie ułatwiającym podłączenie butli różnego typu. Po zastosowaniu trójnika, aparat można stosować zarówno z jedną, jak i z dwoma butlami. Łatwa i szybka regulacja oraz obsługa. Idealna stabilizacja średniego ciśnienia na poziomie 7,5 bar. Reduktor wyposażony jest w zawór bezpieczeństwa.</w:t>
            </w:r>
          </w:p>
          <w:p w14:paraId="5549966C" w14:textId="6A181E30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Manometr na lewym pasie, blisko ucha użytkownika. Alarm wbudowany jest w uchwyt manometru i zasilany średnim ciśnieniem, co minimalizuje zużycie powietrza (&lt; 4,5 l/min). Emitowany sygnał ma natężenie 90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dB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i głośność 30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Hz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(z odległości 1 m). Alarm uruchamia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lastRenderedPageBreak/>
              <w:t xml:space="preserve">się jeśli ciśnienie spadnie poniżej 55 bar ±5 bar. Manometr wyposażony jest w fotoluminescencyjną tarczę o podwójnej skali ( 0-400 bar i 0-40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MPa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>). Manometr osłonięty jest gumową obudową.</w:t>
            </w:r>
          </w:p>
          <w:p w14:paraId="709F4372" w14:textId="51CD772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Noszak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regulowany, dwupozycyjny, którego główną zaletę jest rozkładana konstrukcja. Antystatyczny, odporny na wysoką temperaturę, bezpośrednie działanie płomieni zgodnie z najnowszą dyrektywą PED i EN 137-2006.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Noszak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jest wyposażony w dwa boczne uchwyty. Ergonomiczna, regulowana płyta naramienna wykonana jest z polimerowego tworzywa, odpornego na działanie wysokiej temperatury. Wszystkie przewody oraz reduktor pierwszego stopnia są osłonięte.</w:t>
            </w:r>
          </w:p>
          <w:p w14:paraId="6A23019C" w14:textId="71AD29A1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P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>asy nośne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wygodne, szerokie i łatwe do wyregulowania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>,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naramienne typu „Komfort” spełniające wymogi normy 137-2006.</w:t>
            </w:r>
          </w:p>
          <w:p w14:paraId="0127EABD" w14:textId="77777777" w:rsidR="00CA6C87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Aparat oddechowy 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>z możliwością s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tosowan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>ia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z różnymi modelami masek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pełnotwarzowych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, które certyfikowane są na zgodność z normą EN 136 – III (do stosowania w przemyśle i strażach pożarnych). Każdy z modeli masek dostępny jest w wersji z: paskami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nagłowia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, wykonaną z tkaniny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Nomex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>® siatką oraz z zaczepami do hełmu strażackiego.</w:t>
            </w:r>
          </w:p>
          <w:p w14:paraId="4B65624F" w14:textId="77777777" w:rsidR="00CA6C87" w:rsidRDefault="00CA6C87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P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anoramiczna maska </w:t>
            </w:r>
            <w:proofErr w:type="spellStart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pełnotwarzowa</w:t>
            </w:r>
            <w:proofErr w:type="spellEnd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 wyposażona w komorę foniczną i półmaskę. Wizjer wykończony powłoką </w:t>
            </w:r>
            <w:proofErr w:type="spellStart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antyzadrapaniową</w:t>
            </w:r>
            <w:proofErr w:type="spellEnd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35E7BD76" w14:textId="77777777" w:rsidR="00CA6C87" w:rsidRDefault="00CA6C87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S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uper panoramiczna maska </w:t>
            </w:r>
            <w:proofErr w:type="spellStart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pełnotwarzowa</w:t>
            </w:r>
            <w:proofErr w:type="spellEnd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, wyposażona w wysokiej jakości komorę foniczną i półmaskę.</w:t>
            </w:r>
          </w:p>
          <w:p w14:paraId="2BDDCD72" w14:textId="2E752ABC" w:rsidR="00DD7345" w:rsidRPr="00DD7345" w:rsidRDefault="00CA6C87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P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anoramiczna maska </w:t>
            </w:r>
            <w:proofErr w:type="spellStart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pełnotwarzowa</w:t>
            </w:r>
            <w:proofErr w:type="spellEnd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 wyposażona w wysokiej jakości komorę foniczną i półmaskę.</w:t>
            </w:r>
          </w:p>
          <w:p w14:paraId="4AC9D25E" w14:textId="1FC8902A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Drugie wyjście średniego ciśnienia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 xml:space="preserve"> służące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do podłączenia drugiej maski lub kaptura ucieczkowego i umożliwia ewakuację poszkodowanej osoby ze strefy zadymionej lub skażonej.</w:t>
            </w:r>
          </w:p>
          <w:p w14:paraId="08F13BD0" w14:textId="6716F9DD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Napełnianie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 xml:space="preserve"> z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godnie z normą DIN EN 144-2 / EN</w:t>
            </w:r>
          </w:p>
          <w:p w14:paraId="53918639" w14:textId="0A50909F" w:rsidR="00150CAF" w:rsidRPr="000D7B04" w:rsidRDefault="00DD7345" w:rsidP="00CA6C87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Certyfikaty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 xml:space="preserve">: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Aparat FENZY X-PRO typ I certyfikowany jest zgodnie z standardem europejski EN 137-2006; EN 136.</w:t>
            </w:r>
          </w:p>
        </w:tc>
        <w:tc>
          <w:tcPr>
            <w:tcW w:w="603" w:type="dxa"/>
            <w:vAlign w:val="center"/>
          </w:tcPr>
          <w:p w14:paraId="5D52084C" w14:textId="1BCE4749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lastRenderedPageBreak/>
              <w:t>szt.</w:t>
            </w:r>
          </w:p>
        </w:tc>
        <w:tc>
          <w:tcPr>
            <w:tcW w:w="624" w:type="dxa"/>
            <w:vAlign w:val="center"/>
          </w:tcPr>
          <w:p w14:paraId="2F153868" w14:textId="4F683E56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3</w:t>
            </w:r>
          </w:p>
        </w:tc>
        <w:tc>
          <w:tcPr>
            <w:tcW w:w="1304" w:type="dxa"/>
            <w:vAlign w:val="center"/>
          </w:tcPr>
          <w:p w14:paraId="5C21BDBA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4B0D1225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F7DFEF1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43C05DA5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7963D1F" w14:textId="4ABFF978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11</w:t>
            </w:r>
          </w:p>
        </w:tc>
        <w:tc>
          <w:tcPr>
            <w:tcW w:w="1417" w:type="dxa"/>
            <w:noWrap/>
            <w:vAlign w:val="center"/>
          </w:tcPr>
          <w:p w14:paraId="29B38A22" w14:textId="1B1618A1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proofErr w:type="spellStart"/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Hooligan</w:t>
            </w:r>
            <w:proofErr w:type="spellEnd"/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 xml:space="preserve"> dielektryczny 91 cm</w:t>
            </w:r>
          </w:p>
        </w:tc>
        <w:tc>
          <w:tcPr>
            <w:tcW w:w="7483" w:type="dxa"/>
          </w:tcPr>
          <w:p w14:paraId="54FBEBCA" w14:textId="4B6E67B2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Halligan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dielektryczny 91 cm</w:t>
            </w:r>
            <w:r w:rsidR="00CA6C87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chroniący przed napięciem do 20 000 V</w:t>
            </w:r>
          </w:p>
          <w:p w14:paraId="267C3032" w14:textId="54487B72" w:rsidR="00150CAF" w:rsidRPr="00E449D9" w:rsidRDefault="00DD7345" w:rsidP="00E449D9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Końcówki robocze wykonane z kutej stali, co znacznie zwiększa ich wytrzymałość. Rękojeść narzędzia wykonana z materiału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NuplaGlas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>, dzięki czemu urządzenie jest znacznie lżejsze.</w:t>
            </w:r>
          </w:p>
        </w:tc>
        <w:tc>
          <w:tcPr>
            <w:tcW w:w="603" w:type="dxa"/>
            <w:vAlign w:val="center"/>
          </w:tcPr>
          <w:p w14:paraId="565F4706" w14:textId="10D71639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vAlign w:val="center"/>
          </w:tcPr>
          <w:p w14:paraId="20348301" w14:textId="6D2C390A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2</w:t>
            </w:r>
          </w:p>
        </w:tc>
        <w:tc>
          <w:tcPr>
            <w:tcW w:w="1304" w:type="dxa"/>
            <w:vAlign w:val="center"/>
          </w:tcPr>
          <w:p w14:paraId="19927E54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74095500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50ECC4D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7B779570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2D4AFDFD" w14:textId="3E63F4A1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12</w:t>
            </w:r>
          </w:p>
        </w:tc>
        <w:tc>
          <w:tcPr>
            <w:tcW w:w="1417" w:type="dxa"/>
            <w:noWrap/>
            <w:vAlign w:val="center"/>
          </w:tcPr>
          <w:p w14:paraId="30FEAA6D" w14:textId="39BB9B1A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Wyposażenie torby medycznej zgodnej z wytycznymi KSRG 2021</w:t>
            </w:r>
          </w:p>
        </w:tc>
        <w:tc>
          <w:tcPr>
            <w:tcW w:w="7483" w:type="dxa"/>
          </w:tcPr>
          <w:p w14:paraId="2CD89590" w14:textId="7BB4B2C8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Zestaw opatrunków do PSP R1 według standardu KRSG 2021</w:t>
            </w:r>
            <w:r w:rsidR="00E449D9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0BEE8A0F" w14:textId="7390E4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Skład opatrunków z terminem ważności do torby PSP R1</w:t>
            </w:r>
          </w:p>
          <w:p w14:paraId="1A379CEF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rurki ustno-gardłowe jednorazowe - 6 szt.</w:t>
            </w:r>
          </w:p>
          <w:p w14:paraId="3756A972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- maski krtaniowe PCV wraz ze strzykawką i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lubrykantem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- 3 szt.</w:t>
            </w:r>
          </w:p>
          <w:p w14:paraId="6C2EA88C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resuscytator PVC wraz z maską, rezerwuarem i przewodem dla dorosłych - 1 szt.</w:t>
            </w:r>
          </w:p>
          <w:p w14:paraId="3CBDA9B3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lastRenderedPageBreak/>
              <w:t>- resuscytator PVC wraz z maską, rezerwuarem i przewodem dla dzieci - 1 szt.</w:t>
            </w:r>
          </w:p>
          <w:p w14:paraId="29E2626B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maska anestetyczna PVC rozmiar 4 - 1 szt.</w:t>
            </w:r>
          </w:p>
          <w:p w14:paraId="5CE7365B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maska anestetyczna PVC rozmiar 2 - 1szt</w:t>
            </w:r>
          </w:p>
          <w:p w14:paraId="50923BBE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filtr przeciwbakteryjny - 5 szt.</w:t>
            </w:r>
          </w:p>
          <w:p w14:paraId="5B233148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- przewód tlenowy 10m - 1szt. </w:t>
            </w:r>
          </w:p>
          <w:p w14:paraId="0DC9B850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wąsy tlenowe - 3 szt.</w:t>
            </w:r>
          </w:p>
          <w:p w14:paraId="25676853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maska tlenowa dla osoby dorosłej - 2 szt.</w:t>
            </w:r>
          </w:p>
          <w:p w14:paraId="7ED8757B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maska tlenowa dla dzieci  - 1 szt.</w:t>
            </w:r>
          </w:p>
          <w:p w14:paraId="5142A936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opatrunek indywidualny (duży) - 2 szt.</w:t>
            </w:r>
          </w:p>
          <w:p w14:paraId="2995ACED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opatrunek hemostatyczny - 1 szt.</w:t>
            </w:r>
          </w:p>
          <w:p w14:paraId="22029587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kompresy jałowe 10cm x 10cm - 10 szt.</w:t>
            </w:r>
          </w:p>
          <w:p w14:paraId="242D880E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gaza opatrunkowa jałowa 1m2 - 5 szt.</w:t>
            </w:r>
          </w:p>
          <w:p w14:paraId="20CF7485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gaza opatrunkowa jałowa 1/2m2 - 5 szt.</w:t>
            </w:r>
          </w:p>
          <w:p w14:paraId="4657DB13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opaska dziana 4m/10cm - 8 szt.</w:t>
            </w:r>
          </w:p>
          <w:p w14:paraId="41DBBD38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chusta bawełniana trójkątna - 4 szt.</w:t>
            </w:r>
          </w:p>
          <w:p w14:paraId="0DB654BD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bandaż elastyczny 4m/10cm - 3 szt.</w:t>
            </w:r>
          </w:p>
          <w:p w14:paraId="1D2B8554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bandaż elastyczny 4m/12cm - 3 szt.</w:t>
            </w:r>
          </w:p>
          <w:p w14:paraId="7860EAC3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elastyczna siatka opatrunkowa rozmiar 6 - 3 szt.</w:t>
            </w:r>
          </w:p>
          <w:p w14:paraId="6108F0F5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przylepiec z opatrunkiem 1m/6cm - 1 szt.</w:t>
            </w:r>
          </w:p>
          <w:p w14:paraId="316C8883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przylepiec bez opatrunku 5m/5cm - 2 szt.</w:t>
            </w:r>
          </w:p>
          <w:p w14:paraId="2CC83BC9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opatrunek wentylowy - 2 szt.</w:t>
            </w:r>
          </w:p>
          <w:p w14:paraId="57DE8874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aparat do płukania oka - 1 szt.</w:t>
            </w:r>
          </w:p>
          <w:p w14:paraId="326F8197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- sól fizjologiczna 250 ml - 2szt. </w:t>
            </w:r>
          </w:p>
          <w:p w14:paraId="62BCDE31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- zestaw amputacyjny - 1 szt. </w:t>
            </w:r>
          </w:p>
          <w:p w14:paraId="0C6C982A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- środek do dezynfekcji 250 ml - 1 szt.</w:t>
            </w:r>
          </w:p>
          <w:p w14:paraId="1672C7A8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- maseczka chirurgiczna dla poszkodowanego - 50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szt</w:t>
            </w:r>
            <w:proofErr w:type="spellEnd"/>
          </w:p>
          <w:p w14:paraId="2BDD5246" w14:textId="70482813" w:rsidR="00150CAF" w:rsidRPr="000D7B04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- maseczka FFP 2 dla ratownika - 4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szt</w:t>
            </w:r>
            <w:proofErr w:type="spellEnd"/>
          </w:p>
        </w:tc>
        <w:tc>
          <w:tcPr>
            <w:tcW w:w="603" w:type="dxa"/>
            <w:vAlign w:val="center"/>
          </w:tcPr>
          <w:p w14:paraId="1C0D1D04" w14:textId="0551BD71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lastRenderedPageBreak/>
              <w:t>szt.</w:t>
            </w:r>
          </w:p>
        </w:tc>
        <w:tc>
          <w:tcPr>
            <w:tcW w:w="624" w:type="dxa"/>
            <w:vAlign w:val="center"/>
          </w:tcPr>
          <w:p w14:paraId="3E1EE511" w14:textId="54951FA1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42468302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394AA235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F3DA889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71E85991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72F346A" w14:textId="49D53C15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13</w:t>
            </w:r>
          </w:p>
        </w:tc>
        <w:tc>
          <w:tcPr>
            <w:tcW w:w="1417" w:type="dxa"/>
            <w:noWrap/>
            <w:vAlign w:val="center"/>
          </w:tcPr>
          <w:p w14:paraId="78FA9541" w14:textId="6D39FA47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Piła szablasta 54V/18V z akumulatorem</w:t>
            </w:r>
          </w:p>
        </w:tc>
        <w:tc>
          <w:tcPr>
            <w:tcW w:w="7483" w:type="dxa"/>
          </w:tcPr>
          <w:p w14:paraId="3415BBAC" w14:textId="61BF7EDD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1D6EAC">
              <w:rPr>
                <w:rFonts w:asciiTheme="majorHAnsi" w:hAnsiTheme="majorHAnsi" w:cstheme="majorHAnsi"/>
                <w:bCs/>
                <w:sz w:val="20"/>
                <w:u w:val="single"/>
              </w:rPr>
              <w:t>Piła szablasta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="00E449D9" w:rsidRPr="00DD7345">
              <w:rPr>
                <w:rFonts w:asciiTheme="majorHAnsi" w:hAnsiTheme="majorHAnsi" w:cstheme="majorHAnsi"/>
                <w:bCs/>
                <w:sz w:val="20"/>
              </w:rPr>
              <w:t>54V / 18V</w:t>
            </w:r>
          </w:p>
          <w:p w14:paraId="4F748236" w14:textId="77E3EC50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Elektroniczna regulacja prędkości, szybko wymienny uchwyt brzeszczotu lock-off i elektroniczny hamulec silnika zapewniają dobrą komfort i bezpieczeństwo pracy.</w:t>
            </w:r>
            <w:r w:rsidR="00E449D9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2-pozycyjne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beznarzędziowe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mocowanie brzeszczotu pozwala na zwiększenie wszechstronności zastosowań.</w:t>
            </w:r>
          </w:p>
          <w:p w14:paraId="7335EAB0" w14:textId="20EC99DA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Specyfikacja produktu</w:t>
            </w:r>
            <w:r w:rsidR="00E449D9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7679607D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Częstość suwów bez obciążenia: 0-3000 suwów/min</w:t>
            </w:r>
          </w:p>
          <w:p w14:paraId="297793AC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lastRenderedPageBreak/>
              <w:t>Długość skoku: 28.6 mm</w:t>
            </w:r>
          </w:p>
          <w:p w14:paraId="6B68F57D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Maks. zdolność cięcia w drewnie: 300 mm</w:t>
            </w:r>
          </w:p>
          <w:p w14:paraId="349EAB9B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Zakres cięcia (profile stalowe i rury): 130 mm</w:t>
            </w:r>
          </w:p>
          <w:p w14:paraId="462A2210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Zakres cięcia w PCW: 160 mm</w:t>
            </w:r>
          </w:p>
          <w:p w14:paraId="5969A7F6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Masa: 3.6 kg</w:t>
            </w:r>
          </w:p>
          <w:p w14:paraId="455D74A3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Wibracje na ramionach-drewno: 12.0 m/s2</w:t>
            </w:r>
          </w:p>
          <w:p w14:paraId="2D507D1D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Niepewność pomiaru K 1 (wibracje): 2.3 m/s2</w:t>
            </w:r>
          </w:p>
          <w:p w14:paraId="25F1E04E" w14:textId="03DC8A98" w:rsid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Ciśnienie dźwięku: 86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dB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>(A).</w:t>
            </w:r>
          </w:p>
          <w:p w14:paraId="58DD0AF7" w14:textId="07461A08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1D6EAC">
              <w:rPr>
                <w:rFonts w:asciiTheme="majorHAnsi" w:hAnsiTheme="majorHAnsi" w:cstheme="majorHAnsi"/>
                <w:bCs/>
                <w:sz w:val="20"/>
                <w:u w:val="single"/>
              </w:rPr>
              <w:t>Akumulator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z dwoma zakresami napięć 54V i 18V</w:t>
            </w:r>
            <w:r w:rsidR="00E449D9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umożliwiający współpracę ze wszystkimi elektronarzędziami </w:t>
            </w:r>
            <w:r w:rsidR="00E449D9">
              <w:rPr>
                <w:rFonts w:asciiTheme="majorHAnsi" w:hAnsiTheme="majorHAnsi" w:cstheme="majorHAnsi"/>
                <w:bCs/>
                <w:sz w:val="20"/>
              </w:rPr>
              <w:t>występującymi w zamówieniu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515E3A4B" w14:textId="59ED974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Akumulator pozwala na pracę w dwóch zakresach napięć 54V (3,0Ah) i 18V (9,0Ah).</w:t>
            </w:r>
            <w:r w:rsidR="00E449D9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Wydajność działania elektronarzędzi zasilanych akumulatorem Li-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Ion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54V jest zbliżona do pracy urządzeń sieciowych.</w:t>
            </w:r>
          </w:p>
          <w:p w14:paraId="43DE99D5" w14:textId="77777777" w:rsidR="00E449D9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Specyfikacja</w:t>
            </w:r>
            <w:r w:rsidR="00E449D9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709C8D1E" w14:textId="6A471431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Typ ogniw: Li-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Ion</w:t>
            </w:r>
            <w:proofErr w:type="spellEnd"/>
          </w:p>
          <w:p w14:paraId="40DEAF56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Napięcie: 54/18V</w:t>
            </w:r>
          </w:p>
          <w:p w14:paraId="68D1BF07" w14:textId="39F93E66" w:rsidR="00150CAF" w:rsidRPr="000D7B04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Pojemność akumulatora: 3,0/9,0Ah.</w:t>
            </w:r>
          </w:p>
        </w:tc>
        <w:tc>
          <w:tcPr>
            <w:tcW w:w="603" w:type="dxa"/>
            <w:vAlign w:val="center"/>
          </w:tcPr>
          <w:p w14:paraId="79AFF015" w14:textId="64AA0013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lastRenderedPageBreak/>
              <w:t>szt.</w:t>
            </w:r>
          </w:p>
        </w:tc>
        <w:tc>
          <w:tcPr>
            <w:tcW w:w="624" w:type="dxa"/>
            <w:vAlign w:val="center"/>
          </w:tcPr>
          <w:p w14:paraId="6D9A4711" w14:textId="77EB4C03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52A557AD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1AA44C78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C166333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47F64E6B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B50F101" w14:textId="7935CFA0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14</w:t>
            </w:r>
          </w:p>
        </w:tc>
        <w:tc>
          <w:tcPr>
            <w:tcW w:w="1417" w:type="dxa"/>
            <w:noWrap/>
            <w:vAlign w:val="center"/>
          </w:tcPr>
          <w:p w14:paraId="4B3A9A64" w14:textId="64435AB8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Szlifierka kątowa 54V/18V z akumulatorem</w:t>
            </w:r>
          </w:p>
        </w:tc>
        <w:tc>
          <w:tcPr>
            <w:tcW w:w="7483" w:type="dxa"/>
          </w:tcPr>
          <w:p w14:paraId="4E4E230C" w14:textId="77FD148A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1D6EAC">
              <w:rPr>
                <w:rFonts w:asciiTheme="majorHAnsi" w:hAnsiTheme="majorHAnsi" w:cstheme="majorHAnsi"/>
                <w:bCs/>
                <w:sz w:val="20"/>
                <w:u w:val="single"/>
              </w:rPr>
              <w:t xml:space="preserve">Szlifierka </w:t>
            </w:r>
            <w:r w:rsidR="00065E32" w:rsidRPr="001D6EAC">
              <w:rPr>
                <w:rFonts w:asciiTheme="majorHAnsi" w:hAnsiTheme="majorHAnsi" w:cstheme="majorHAnsi"/>
                <w:bCs/>
                <w:sz w:val="20"/>
                <w:u w:val="single"/>
              </w:rPr>
              <w:t>kątowa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="00065E32" w:rsidRPr="00DD7345">
              <w:rPr>
                <w:rFonts w:asciiTheme="majorHAnsi" w:hAnsiTheme="majorHAnsi" w:cstheme="majorHAnsi"/>
                <w:bCs/>
                <w:sz w:val="20"/>
              </w:rPr>
              <w:t>54V / 18V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 xml:space="preserve">, </w:t>
            </w:r>
            <w:proofErr w:type="spellStart"/>
            <w:r w:rsidR="00065E32">
              <w:rPr>
                <w:rFonts w:asciiTheme="majorHAnsi" w:hAnsiTheme="majorHAnsi" w:cstheme="majorHAnsi"/>
                <w:bCs/>
                <w:sz w:val="20"/>
              </w:rPr>
              <w:t>b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ezszczotkowy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silnik 54V.</w:t>
            </w:r>
          </w:p>
          <w:p w14:paraId="26A3642B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Elektroniczny hamulec szybko zatrzymuje tarczę po puszczeniu włącznika.</w:t>
            </w:r>
          </w:p>
          <w:p w14:paraId="6546932C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Sprzęgło elektroniczne zmniejsza odrzut w przypadku zablokowania lub zakleszczenia tarczy.</w:t>
            </w:r>
          </w:p>
          <w:p w14:paraId="1FF00875" w14:textId="04B004C3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Specyfikacja produktu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568127A6" w14:textId="6FB369E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Prędkość bez obciążenia: 9000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obr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>/min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3DAFF85" w14:textId="50F2C48B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Maks. średnica tarczy: 125 mm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3896096" w14:textId="0C6AEBA1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Gwint wrzeciona: M14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548646BC" w14:textId="54AB2611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Masa: 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 xml:space="preserve">max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2,2 kg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E548D2A" w14:textId="77777777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Wibracje na ramionach- szlifowanie drobne: 5.9 m/s2.</w:t>
            </w:r>
          </w:p>
          <w:p w14:paraId="466310C4" w14:textId="5D0C60D5" w:rsidR="00DD7345" w:rsidRDefault="00065E32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K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lucz do tarcz</w:t>
            </w:r>
            <w:r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6E6DFC96" w14:textId="77777777" w:rsidR="00E449D9" w:rsidRPr="00DD7345" w:rsidRDefault="00E449D9" w:rsidP="00E449D9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1D6EAC">
              <w:rPr>
                <w:rFonts w:asciiTheme="majorHAnsi" w:hAnsiTheme="majorHAnsi" w:cstheme="majorHAnsi"/>
                <w:bCs/>
                <w:sz w:val="20"/>
                <w:u w:val="single"/>
              </w:rPr>
              <w:t>Akumulator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z dwoma zakresami napięć 54V i 18V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umożliwiający współpracę ze wszystkimi elektronarzędziami </w:t>
            </w:r>
            <w:r>
              <w:rPr>
                <w:rFonts w:asciiTheme="majorHAnsi" w:hAnsiTheme="majorHAnsi" w:cstheme="majorHAnsi"/>
                <w:bCs/>
                <w:sz w:val="20"/>
              </w:rPr>
              <w:t>występującymi w zamówieniu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0C7FEEF2" w14:textId="77777777" w:rsidR="00E449D9" w:rsidRPr="00DD7345" w:rsidRDefault="00E449D9" w:rsidP="00E449D9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Akumulator pozwala na pracę w dwóch zakresach napięć 54V (3,0Ah) i 18V (9,0Ah).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Wydajność działania elektronarzędzi zasilanych akumulatorem Li-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Ion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54V jest zbliżona do pracy urządzeń sieciowych.</w:t>
            </w:r>
          </w:p>
          <w:p w14:paraId="22FE757C" w14:textId="77777777" w:rsidR="00E449D9" w:rsidRDefault="00E449D9" w:rsidP="00E449D9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Specyfikacja</w:t>
            </w:r>
            <w:r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16EDD909" w14:textId="77777777" w:rsidR="00E449D9" w:rsidRPr="00DD7345" w:rsidRDefault="00E449D9" w:rsidP="00E449D9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lastRenderedPageBreak/>
              <w:t>Typ ogniw: Li-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Ion</w:t>
            </w:r>
            <w:proofErr w:type="spellEnd"/>
          </w:p>
          <w:p w14:paraId="3DABF095" w14:textId="77777777" w:rsidR="00E449D9" w:rsidRPr="00DD7345" w:rsidRDefault="00E449D9" w:rsidP="00E449D9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Napięcie: 54/18V</w:t>
            </w:r>
          </w:p>
          <w:p w14:paraId="2A4E0020" w14:textId="08395475" w:rsidR="00DD7345" w:rsidRPr="000D7B04" w:rsidRDefault="00E449D9" w:rsidP="00E449D9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Pojemność akumulatora: 3,0/9,0Ah.</w:t>
            </w:r>
          </w:p>
        </w:tc>
        <w:tc>
          <w:tcPr>
            <w:tcW w:w="603" w:type="dxa"/>
            <w:vAlign w:val="center"/>
          </w:tcPr>
          <w:p w14:paraId="4F419B75" w14:textId="519A5F7C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lastRenderedPageBreak/>
              <w:t>szt.</w:t>
            </w:r>
          </w:p>
        </w:tc>
        <w:tc>
          <w:tcPr>
            <w:tcW w:w="624" w:type="dxa"/>
            <w:vAlign w:val="center"/>
          </w:tcPr>
          <w:p w14:paraId="22F5C14E" w14:textId="18CFF7D8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49059318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018D2D83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017B137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02B8AA2D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35083587" w14:textId="4974CFBF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16FA5C54" w14:textId="06FC3876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Wiertarko-wkrętarka udarowa 18V 95/66Nm z akumulatorem</w:t>
            </w:r>
          </w:p>
        </w:tc>
        <w:tc>
          <w:tcPr>
            <w:tcW w:w="7483" w:type="dxa"/>
          </w:tcPr>
          <w:p w14:paraId="1FFA62CE" w14:textId="7813F338" w:rsidR="00DD7345" w:rsidRPr="00DD7345" w:rsidRDefault="00065E32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1D6EAC">
              <w:rPr>
                <w:rFonts w:asciiTheme="majorHAnsi" w:hAnsiTheme="majorHAnsi" w:cstheme="majorHAnsi"/>
                <w:bCs/>
                <w:sz w:val="20"/>
                <w:u w:val="single"/>
              </w:rPr>
              <w:t>W</w:t>
            </w:r>
            <w:r w:rsidR="00DD7345" w:rsidRPr="001D6EAC">
              <w:rPr>
                <w:rFonts w:asciiTheme="majorHAnsi" w:hAnsiTheme="majorHAnsi" w:cstheme="majorHAnsi"/>
                <w:bCs/>
                <w:sz w:val="20"/>
                <w:u w:val="single"/>
              </w:rPr>
              <w:t>iertarko-wkrętarka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18V 95/66Nm 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z udarem i silnikiem </w:t>
            </w:r>
            <w:proofErr w:type="spellStart"/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bezszczotkowym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06BD5CE6" w14:textId="35AAD933" w:rsidR="00DD7345" w:rsidRPr="00DD7345" w:rsidRDefault="00065E32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D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ioda LED z funkcją opóźnionego wyłączenia poprawia</w:t>
            </w:r>
            <w:r>
              <w:rPr>
                <w:rFonts w:asciiTheme="majorHAnsi" w:hAnsiTheme="majorHAnsi" w:cstheme="majorHAnsi"/>
                <w:bCs/>
                <w:sz w:val="20"/>
              </w:rPr>
              <w:t>jąca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 widoczność pola pracy.</w:t>
            </w:r>
          </w:p>
          <w:p w14:paraId="3A031EDC" w14:textId="26E5227B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Specyfikacja produktu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24C3B07F" w14:textId="3F688873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Technologia akumulatorów: XR Li-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Ion</w:t>
            </w:r>
            <w:proofErr w:type="spellEnd"/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256B20F" w14:textId="28476D5C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Napięcie: 18 V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52F9AC96" w14:textId="573B2422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Maks. moment obrotowy (twardy): 95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Nm</w:t>
            </w:r>
            <w:proofErr w:type="spellEnd"/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F5EC6BE" w14:textId="12E611A8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Maks. moment obrotowy (miękki): 66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Nm</w:t>
            </w:r>
            <w:proofErr w:type="spellEnd"/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1FB461D" w14:textId="1F4023B0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Moc użyteczna: 820 W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FBD66E8" w14:textId="7AA5DF9D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Prędkość bez obciążenia: 0-450/1300/2000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obr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>/min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3C72D1C" w14:textId="5E757FE1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Częstość udaru: 0-8600/25500/38250 ud/min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B1A8A3F" w14:textId="5CB7C06A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Maks. średnica wiercenia [Drewno]: 55 mm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436957C" w14:textId="105D8F02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Maks. średnica wiercenia [Metal]: 15 mm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D11A6F6" w14:textId="7043F3CD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Maks. średnica wiercenia [Mur]: 16 mm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5D84F3C4" w14:textId="5C5F5DBF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Masa: 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 xml:space="preserve">max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1.6 kg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E5FDB7D" w14:textId="19C51F30" w:rsid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W zestawie: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zaczep do paska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 xml:space="preserve">,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uchwyt magnetyczny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 xml:space="preserve">,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wielopozycyjna rękojeść boczna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298E2AB5" w14:textId="77777777" w:rsidR="00065E32" w:rsidRPr="00DD7345" w:rsidRDefault="00065E32" w:rsidP="00065E32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1D6EAC">
              <w:rPr>
                <w:rFonts w:asciiTheme="majorHAnsi" w:hAnsiTheme="majorHAnsi" w:cstheme="majorHAnsi"/>
                <w:bCs/>
                <w:sz w:val="20"/>
                <w:u w:val="single"/>
              </w:rPr>
              <w:t>Akumulator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z dwoma zakresami napięć 54V i 18V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umożliwiający współpracę ze wszystkimi elektronarzędziami </w:t>
            </w:r>
            <w:r>
              <w:rPr>
                <w:rFonts w:asciiTheme="majorHAnsi" w:hAnsiTheme="majorHAnsi" w:cstheme="majorHAnsi"/>
                <w:bCs/>
                <w:sz w:val="20"/>
              </w:rPr>
              <w:t>występującymi w zamówieniu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4E0939DE" w14:textId="77777777" w:rsidR="00065E32" w:rsidRPr="00DD7345" w:rsidRDefault="00065E32" w:rsidP="00065E32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Akumulator pozwala na pracę w dwóch zakresach napięć 54V (3,0Ah) i 18V (9,0Ah).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Wydajność działania elektronarzędzi zasilanych akumulatorem Li-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Ion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54V jest zbliżona do pracy urządzeń sieciowych.</w:t>
            </w:r>
          </w:p>
          <w:p w14:paraId="52FDEADD" w14:textId="77777777" w:rsidR="00065E32" w:rsidRDefault="00065E32" w:rsidP="00065E32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Specyfikacja</w:t>
            </w:r>
            <w:r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72280BBB" w14:textId="77777777" w:rsidR="00065E32" w:rsidRPr="00DD7345" w:rsidRDefault="00065E32" w:rsidP="00065E32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Typ ogniw: Li-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Ion</w:t>
            </w:r>
            <w:proofErr w:type="spellEnd"/>
          </w:p>
          <w:p w14:paraId="0556F0E9" w14:textId="77777777" w:rsidR="00065E32" w:rsidRPr="00DD7345" w:rsidRDefault="00065E32" w:rsidP="00065E32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Napięcie: 54/18V</w:t>
            </w:r>
          </w:p>
          <w:p w14:paraId="583BA654" w14:textId="7364C460" w:rsidR="00DD7345" w:rsidRPr="000D7B04" w:rsidRDefault="00065E32" w:rsidP="00065E32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Pojemność akumulatora: 3,0/9,0Ah.</w:t>
            </w:r>
          </w:p>
        </w:tc>
        <w:tc>
          <w:tcPr>
            <w:tcW w:w="603" w:type="dxa"/>
            <w:vAlign w:val="center"/>
          </w:tcPr>
          <w:p w14:paraId="3B0F67EB" w14:textId="0D678A91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vAlign w:val="center"/>
          </w:tcPr>
          <w:p w14:paraId="59126A73" w14:textId="7D63CA8B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328AB3F1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5F6F9899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573E0E55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4ECEA7FA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2FDBAED8" w14:textId="7CCE116B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16</w:t>
            </w:r>
          </w:p>
        </w:tc>
        <w:tc>
          <w:tcPr>
            <w:tcW w:w="1417" w:type="dxa"/>
            <w:noWrap/>
            <w:vAlign w:val="center"/>
          </w:tcPr>
          <w:p w14:paraId="19CF72CE" w14:textId="150EC4C3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Ładowarka do akumulatorów podwójna 18-54V DCB132</w:t>
            </w:r>
          </w:p>
        </w:tc>
        <w:tc>
          <w:tcPr>
            <w:tcW w:w="7483" w:type="dxa"/>
          </w:tcPr>
          <w:p w14:paraId="56231CCD" w14:textId="446D3BF5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Ładowarka podwójna 18-54V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do ładowania akumulatorów wsuwanych narzędzi 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wyżej wymienionych objętych zamówieniem.</w:t>
            </w:r>
          </w:p>
          <w:p w14:paraId="6788F621" w14:textId="77D5A740" w:rsidR="00150CAF" w:rsidRPr="000D7B04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Dwa porty umożliwiają jednoczesne ładowanie dwóch akumulat</w:t>
            </w:r>
            <w:r w:rsidR="00065E32">
              <w:rPr>
                <w:rFonts w:asciiTheme="majorHAnsi" w:hAnsiTheme="majorHAnsi" w:cstheme="majorHAnsi"/>
                <w:bCs/>
                <w:sz w:val="20"/>
              </w:rPr>
              <w:t>o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rów. Ładowarka wyposażona w diody informujące o stanie naładowania akumulatora.</w:t>
            </w:r>
          </w:p>
        </w:tc>
        <w:tc>
          <w:tcPr>
            <w:tcW w:w="603" w:type="dxa"/>
            <w:vAlign w:val="center"/>
          </w:tcPr>
          <w:p w14:paraId="6E944D57" w14:textId="0368D390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vAlign w:val="center"/>
          </w:tcPr>
          <w:p w14:paraId="4A67E74F" w14:textId="785E35B9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0F21A056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569D073A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12B2245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710AF6BB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C7422D1" w14:textId="12DA2D9F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17</w:t>
            </w:r>
          </w:p>
        </w:tc>
        <w:tc>
          <w:tcPr>
            <w:tcW w:w="1417" w:type="dxa"/>
            <w:noWrap/>
            <w:vAlign w:val="center"/>
          </w:tcPr>
          <w:p w14:paraId="1E689906" w14:textId="729F21A9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Dron dla straży</w:t>
            </w:r>
          </w:p>
        </w:tc>
        <w:tc>
          <w:tcPr>
            <w:tcW w:w="7483" w:type="dxa"/>
          </w:tcPr>
          <w:p w14:paraId="0852481F" w14:textId="582EB836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Dron dla straży</w:t>
            </w:r>
            <w:r w:rsidR="001D6EAC">
              <w:rPr>
                <w:rFonts w:asciiTheme="majorHAnsi" w:hAnsiTheme="majorHAnsi" w:cstheme="majorHAnsi"/>
                <w:bCs/>
                <w:sz w:val="20"/>
              </w:rPr>
              <w:t xml:space="preserve">.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Kamera dzienna i termowizyjna, zintegrowany sensor radiometryczny FLIR Sensor, regulowane parametry dla powierzchni emisyjnych i odbijających, wiele trybów wyświetlania: FLR MSX czy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Infrared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&amp;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Visible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2398388B" w14:textId="77777777" w:rsidR="004369EE" w:rsidRDefault="004369EE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lastRenderedPageBreak/>
              <w:t>Aplikacja do obsługi.</w:t>
            </w:r>
          </w:p>
          <w:p w14:paraId="33035C93" w14:textId="24B49A69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Monitor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owanie i dokonywanie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pomiar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ów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temperatur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y.</w:t>
            </w:r>
          </w:p>
          <w:p w14:paraId="61A0D9FF" w14:textId="1F889BCD" w:rsidR="00DD7345" w:rsidRPr="00DD7345" w:rsidRDefault="004369EE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W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budowane funkcje 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do 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pomiar</w:t>
            </w:r>
            <w:r>
              <w:rPr>
                <w:rFonts w:asciiTheme="majorHAnsi" w:hAnsiTheme="majorHAnsi" w:cstheme="majorHAnsi"/>
                <w:bCs/>
                <w:sz w:val="20"/>
              </w:rPr>
              <w:t>u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 ciepła dla różnych obiektów i scenariuszy.</w:t>
            </w:r>
          </w:p>
          <w:p w14:paraId="1AA1B809" w14:textId="77833C12" w:rsidR="00DD7345" w:rsidRPr="00DD7345" w:rsidRDefault="004369EE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Z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>nacznik czasu GPS rejestruj</w:t>
            </w:r>
            <w:r>
              <w:rPr>
                <w:rFonts w:asciiTheme="majorHAnsi" w:hAnsiTheme="majorHAnsi" w:cstheme="majorHAnsi"/>
                <w:bCs/>
                <w:sz w:val="20"/>
              </w:rPr>
              <w:t>ący</w:t>
            </w:r>
            <w:r w:rsidR="00DD7345" w:rsidRPr="00DD7345">
              <w:rPr>
                <w:rFonts w:asciiTheme="majorHAnsi" w:hAnsiTheme="majorHAnsi" w:cstheme="majorHAnsi"/>
                <w:bCs/>
                <w:sz w:val="20"/>
              </w:rPr>
              <w:t xml:space="preserve"> datę i godzinę wykonania zdjęć.</w:t>
            </w:r>
          </w:p>
          <w:p w14:paraId="3F88A1EA" w14:textId="572A6295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Dane techniczne:</w:t>
            </w:r>
          </w:p>
          <w:p w14:paraId="77B86599" w14:textId="3193EAFC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 xml:space="preserve">Masa: 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około 900</w:t>
            </w:r>
            <w:r w:rsidRPr="004369EE">
              <w:rPr>
                <w:rFonts w:asciiTheme="majorHAnsi" w:hAnsiTheme="majorHAnsi" w:cstheme="majorHAnsi"/>
                <w:bCs/>
                <w:sz w:val="20"/>
              </w:rPr>
              <w:t xml:space="preserve"> g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81E8561" w14:textId="12AAA682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>Wymiary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 xml:space="preserve"> około</w:t>
            </w:r>
            <w:r w:rsidRPr="004369EE">
              <w:rPr>
                <w:rFonts w:asciiTheme="majorHAnsi" w:hAnsiTheme="majorHAnsi" w:cstheme="majorHAnsi"/>
                <w:bCs/>
                <w:sz w:val="20"/>
              </w:rPr>
              <w:t>: Złożony: 214x91x84 mm, Rozłożony: 322x242x84 mm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5EFE288" w14:textId="37C27E5A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>Rozpiętość: 354 mm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ED264D5" w14:textId="3B761438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>Max czas lotu: 31 minut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87308AA" w14:textId="3BF273CC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>Max czasu lotu w zawisie: 29 minut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0200799" w14:textId="5F512F93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 xml:space="preserve">Wewnętrzna pamięć: 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 xml:space="preserve">min </w:t>
            </w:r>
            <w:r w:rsidRPr="004369EE">
              <w:rPr>
                <w:rFonts w:asciiTheme="majorHAnsi" w:hAnsiTheme="majorHAnsi" w:cstheme="majorHAnsi"/>
                <w:bCs/>
                <w:sz w:val="20"/>
              </w:rPr>
              <w:t xml:space="preserve">24 </w:t>
            </w:r>
            <w:proofErr w:type="spellStart"/>
            <w:r w:rsidRPr="004369EE">
              <w:rPr>
                <w:rFonts w:asciiTheme="majorHAnsi" w:hAnsiTheme="majorHAnsi" w:cstheme="majorHAnsi"/>
                <w:bCs/>
                <w:sz w:val="20"/>
              </w:rPr>
              <w:t>Gb</w:t>
            </w:r>
            <w:proofErr w:type="spellEnd"/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27D04802" w14:textId="489B0BC5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 xml:space="preserve">Typ: M2ED Visual </w:t>
            </w:r>
            <w:proofErr w:type="spellStart"/>
            <w:r w:rsidRPr="004369EE">
              <w:rPr>
                <w:rFonts w:asciiTheme="majorHAnsi" w:hAnsiTheme="majorHAnsi" w:cstheme="majorHAnsi"/>
                <w:bCs/>
                <w:sz w:val="20"/>
              </w:rPr>
              <w:t>Camera</w:t>
            </w:r>
            <w:proofErr w:type="spellEnd"/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C673CE1" w14:textId="7F1F5795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 xml:space="preserve">Sensor: 1/2,3 CMOS, 12 </w:t>
            </w:r>
            <w:proofErr w:type="spellStart"/>
            <w:r w:rsidRPr="004369EE">
              <w:rPr>
                <w:rFonts w:asciiTheme="majorHAnsi" w:hAnsiTheme="majorHAnsi" w:cstheme="majorHAnsi"/>
                <w:bCs/>
                <w:sz w:val="20"/>
              </w:rPr>
              <w:t>Megapixels</w:t>
            </w:r>
            <w:proofErr w:type="spellEnd"/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F9780DF" w14:textId="706FF938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>Ekwiwalent formatu: 24 mm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237ABAE" w14:textId="12B8D08F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>Przysłona: f/2.8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CC1DC51" w14:textId="5725B120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 w:rsidRPr="004369EE">
              <w:rPr>
                <w:rFonts w:asciiTheme="majorHAnsi" w:hAnsiTheme="majorHAnsi" w:cstheme="majorHAnsi"/>
                <w:bCs/>
                <w:sz w:val="20"/>
              </w:rPr>
              <w:t>Autofokus</w:t>
            </w:r>
            <w:proofErr w:type="spellEnd"/>
            <w:r w:rsidRPr="004369EE">
              <w:rPr>
                <w:rFonts w:asciiTheme="majorHAnsi" w:hAnsiTheme="majorHAnsi" w:cstheme="majorHAnsi"/>
                <w:bCs/>
                <w:sz w:val="20"/>
              </w:rPr>
              <w:t>: 0.5m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342E12C7" w14:textId="5C08F4C9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>Typ złącza: USB Micro-B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0A4DB4C4" w14:textId="5EA3ACE4" w:rsidR="00DD7345" w:rsidRPr="004369EE" w:rsidRDefault="00DD7345" w:rsidP="001D6EAC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4369EE">
              <w:rPr>
                <w:rFonts w:asciiTheme="majorHAnsi" w:hAnsiTheme="majorHAnsi" w:cstheme="majorHAnsi"/>
                <w:bCs/>
                <w:sz w:val="20"/>
              </w:rPr>
              <w:t>Zasięg operacyjny : 5000m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  <w:tc>
          <w:tcPr>
            <w:tcW w:w="603" w:type="dxa"/>
            <w:vAlign w:val="center"/>
          </w:tcPr>
          <w:p w14:paraId="369395AA" w14:textId="0C574062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lastRenderedPageBreak/>
              <w:t>szt.</w:t>
            </w:r>
          </w:p>
        </w:tc>
        <w:tc>
          <w:tcPr>
            <w:tcW w:w="624" w:type="dxa"/>
            <w:vAlign w:val="center"/>
          </w:tcPr>
          <w:p w14:paraId="56E17C8A" w14:textId="513FE488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2373958C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4F604015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A873BB9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4382A197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B9A01B1" w14:textId="57F0EA10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18</w:t>
            </w:r>
          </w:p>
        </w:tc>
        <w:tc>
          <w:tcPr>
            <w:tcW w:w="1417" w:type="dxa"/>
            <w:noWrap/>
            <w:vAlign w:val="center"/>
          </w:tcPr>
          <w:p w14:paraId="2E3F8F5C" w14:textId="5DDB52C5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Podstawowy zestaw podpór ratowniczych do stabilizacji pojazdów</w:t>
            </w:r>
          </w:p>
        </w:tc>
        <w:tc>
          <w:tcPr>
            <w:tcW w:w="7483" w:type="dxa"/>
          </w:tcPr>
          <w:p w14:paraId="321D7DB6" w14:textId="1F368D4B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W skład zestawu podpór wchodzą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4DE61B27" w14:textId="77777777" w:rsidR="00DD7345" w:rsidRPr="001D6EAC" w:rsidRDefault="00DD7345" w:rsidP="001D6EAC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ind w:left="357" w:hanging="283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1D6EAC">
              <w:rPr>
                <w:rFonts w:asciiTheme="majorHAnsi" w:hAnsiTheme="majorHAnsi" w:cstheme="majorHAnsi"/>
                <w:bCs/>
                <w:sz w:val="20"/>
              </w:rPr>
              <w:t xml:space="preserve">Podpora Pt-1200z </w:t>
            </w:r>
            <w:proofErr w:type="spellStart"/>
            <w:r w:rsidRPr="001D6EAC">
              <w:rPr>
                <w:rFonts w:asciiTheme="majorHAnsi" w:hAnsiTheme="majorHAnsi" w:cstheme="majorHAnsi"/>
                <w:bCs/>
                <w:sz w:val="20"/>
              </w:rPr>
              <w:t>MikoRescueTech</w:t>
            </w:r>
            <w:proofErr w:type="spellEnd"/>
            <w:r w:rsidRPr="001D6EAC">
              <w:rPr>
                <w:rFonts w:asciiTheme="majorHAnsi" w:hAnsiTheme="majorHAnsi" w:cstheme="majorHAnsi"/>
                <w:bCs/>
                <w:sz w:val="20"/>
              </w:rPr>
              <w:t xml:space="preserve"> - 2szt</w:t>
            </w:r>
          </w:p>
          <w:p w14:paraId="0FAC7519" w14:textId="77777777" w:rsidR="00DD7345" w:rsidRPr="001D6EAC" w:rsidRDefault="00DD7345" w:rsidP="001D6EAC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ind w:left="357" w:hanging="283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1D6EAC">
              <w:rPr>
                <w:rFonts w:asciiTheme="majorHAnsi" w:hAnsiTheme="majorHAnsi" w:cstheme="majorHAnsi"/>
                <w:bCs/>
                <w:sz w:val="20"/>
              </w:rPr>
              <w:t>Torba transportowa - 1szt</w:t>
            </w:r>
          </w:p>
          <w:p w14:paraId="6614EFF6" w14:textId="77777777" w:rsidR="00DD7345" w:rsidRPr="001D6EAC" w:rsidRDefault="00DD7345" w:rsidP="001D6EAC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ind w:left="357" w:hanging="283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1D6EAC">
              <w:rPr>
                <w:rFonts w:asciiTheme="majorHAnsi" w:hAnsiTheme="majorHAnsi" w:cstheme="majorHAnsi"/>
                <w:bCs/>
                <w:sz w:val="20"/>
              </w:rPr>
              <w:t>Teleskopowa podpora ratownicza</w:t>
            </w:r>
          </w:p>
          <w:p w14:paraId="1329F9CD" w14:textId="43656574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Wymienna głowica gwarantująca pewny punkt podparcia lub zaczepienia, uniwersalna stopa ślizgowa, 6 dodatkowych punktów podczepienia pasa oraz zintegrowany z podporą pas napinający o nośności w pętli 5 t i długości 5 m. Wymienne końcówki. 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 xml:space="preserve">Możliwość tworzenia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konfiguracj</w:t>
            </w:r>
            <w:r w:rsidR="004369EE">
              <w:rPr>
                <w:rFonts w:asciiTheme="majorHAnsi" w:hAnsiTheme="majorHAnsi" w:cstheme="majorHAnsi"/>
                <w:bCs/>
                <w:sz w:val="20"/>
              </w:rPr>
              <w:t>i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np. z dwóch podpór tworzymy rampę podnoszącą a z trzech trójnóg alpinistyczny.</w:t>
            </w:r>
          </w:p>
          <w:p w14:paraId="3B048310" w14:textId="19C89F9B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Specyfikacja podpory Pt-1200z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MikoRescueTech</w:t>
            </w:r>
            <w:proofErr w:type="spellEnd"/>
            <w:r w:rsidR="00AC59FD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693F74CA" w14:textId="7C165A1F" w:rsidR="00DD7345" w:rsidRPr="00AC59FD" w:rsidRDefault="00DD7345" w:rsidP="001D6EAC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AC59FD">
              <w:rPr>
                <w:rFonts w:asciiTheme="majorHAnsi" w:hAnsiTheme="majorHAnsi" w:cstheme="majorHAnsi"/>
                <w:bCs/>
                <w:sz w:val="20"/>
              </w:rPr>
              <w:t>długość w pozycji transportowej 1200 mm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2704A1E" w14:textId="008C3EE4" w:rsidR="00DD7345" w:rsidRPr="00AC59FD" w:rsidRDefault="00DD7345" w:rsidP="001D6EAC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AC59FD">
              <w:rPr>
                <w:rFonts w:asciiTheme="majorHAnsi" w:hAnsiTheme="majorHAnsi" w:cstheme="majorHAnsi"/>
                <w:bCs/>
                <w:sz w:val="20"/>
              </w:rPr>
              <w:t>możliwość regulacji długości w zakresie 800 mm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68D8277B" w14:textId="1F556C66" w:rsidR="00DD7345" w:rsidRPr="00AC59FD" w:rsidRDefault="00DD7345" w:rsidP="001D6EAC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AC59FD">
              <w:rPr>
                <w:rFonts w:asciiTheme="majorHAnsi" w:hAnsiTheme="majorHAnsi" w:cstheme="majorHAnsi"/>
                <w:bCs/>
                <w:sz w:val="20"/>
              </w:rPr>
              <w:t>nośność do 1500 kg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76F7792" w14:textId="2B2C480B" w:rsidR="00DD7345" w:rsidRPr="00AC59FD" w:rsidRDefault="00DD7345" w:rsidP="001D6EAC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AC59FD">
              <w:rPr>
                <w:rFonts w:asciiTheme="majorHAnsi" w:hAnsiTheme="majorHAnsi" w:cstheme="majorHAnsi"/>
                <w:bCs/>
                <w:sz w:val="20"/>
              </w:rPr>
              <w:t>stopa ślizgowa przegubowa o kącie pracy 170 stopni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1A4AE65F" w14:textId="5CD49BCF" w:rsidR="00DD7345" w:rsidRPr="00AC59FD" w:rsidRDefault="00DD7345" w:rsidP="001D6EAC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AC59FD">
              <w:rPr>
                <w:rFonts w:asciiTheme="majorHAnsi" w:hAnsiTheme="majorHAnsi" w:cstheme="majorHAnsi"/>
                <w:bCs/>
                <w:sz w:val="20"/>
              </w:rPr>
              <w:t>6 punktów zaczepowych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4674852E" w14:textId="636A332B" w:rsidR="00DD7345" w:rsidRPr="00AC59FD" w:rsidRDefault="00DD7345" w:rsidP="001D6EAC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AC59FD">
              <w:rPr>
                <w:rFonts w:asciiTheme="majorHAnsi" w:hAnsiTheme="majorHAnsi" w:cstheme="majorHAnsi"/>
                <w:bCs/>
                <w:sz w:val="20"/>
              </w:rPr>
              <w:lastRenderedPageBreak/>
              <w:t>zintegrowany pas napinający o nośności 5 t i długości 5 m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F26182A" w14:textId="7C39EE68" w:rsidR="00DD7345" w:rsidRPr="00AC59FD" w:rsidRDefault="00DD7345" w:rsidP="001D6EAC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AC59FD">
              <w:rPr>
                <w:rFonts w:asciiTheme="majorHAnsi" w:hAnsiTheme="majorHAnsi" w:cstheme="majorHAnsi"/>
                <w:bCs/>
                <w:sz w:val="20"/>
              </w:rPr>
              <w:t>podpora wykonana z profili stalowych wzmacniana elementami ciętymi laserem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7379F705" w14:textId="557BFA4D" w:rsidR="00DD7345" w:rsidRPr="00AC59FD" w:rsidRDefault="00DD7345" w:rsidP="001D6EAC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ind w:left="403" w:hanging="284"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AC59FD">
              <w:rPr>
                <w:rFonts w:asciiTheme="majorHAnsi" w:hAnsiTheme="majorHAnsi" w:cstheme="majorHAnsi"/>
                <w:bCs/>
                <w:sz w:val="20"/>
              </w:rPr>
              <w:t>całość cynkowana galwanicznie i częściowo malowana powłokami ochronnym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7704F9C5" w14:textId="42999A7E" w:rsidR="00150CAF" w:rsidRPr="000D7B04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Torba transportowa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  <w:tc>
          <w:tcPr>
            <w:tcW w:w="603" w:type="dxa"/>
            <w:vAlign w:val="center"/>
          </w:tcPr>
          <w:p w14:paraId="5450E6F1" w14:textId="621C696A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lastRenderedPageBreak/>
              <w:t>szt.</w:t>
            </w:r>
          </w:p>
        </w:tc>
        <w:tc>
          <w:tcPr>
            <w:tcW w:w="624" w:type="dxa"/>
            <w:vAlign w:val="center"/>
          </w:tcPr>
          <w:p w14:paraId="3EB8A16A" w14:textId="1B2F05A8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1</w:t>
            </w:r>
          </w:p>
        </w:tc>
        <w:tc>
          <w:tcPr>
            <w:tcW w:w="1304" w:type="dxa"/>
            <w:vAlign w:val="center"/>
          </w:tcPr>
          <w:p w14:paraId="4C152EA2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2AE72264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01F1559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07CD2159" w14:textId="77777777" w:rsidTr="001D6EAC">
        <w:trPr>
          <w:trHeight w:val="39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01FC6FF" w14:textId="332CC73F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eastAsia="Times New Roman" w:hAnsiTheme="majorHAnsi" w:cstheme="majorHAnsi"/>
                <w:sz w:val="20"/>
              </w:rPr>
              <w:t>19</w:t>
            </w:r>
          </w:p>
        </w:tc>
        <w:tc>
          <w:tcPr>
            <w:tcW w:w="1417" w:type="dxa"/>
            <w:noWrap/>
            <w:vAlign w:val="center"/>
          </w:tcPr>
          <w:p w14:paraId="1E21F6C3" w14:textId="42032B81" w:rsidR="00150CAF" w:rsidRPr="000D7B04" w:rsidRDefault="00150CAF" w:rsidP="000D7B04">
            <w:pPr>
              <w:widowControl/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Sygnalizator bezruchu</w:t>
            </w:r>
          </w:p>
        </w:tc>
        <w:tc>
          <w:tcPr>
            <w:tcW w:w="7483" w:type="dxa"/>
          </w:tcPr>
          <w:p w14:paraId="490308B1" w14:textId="377A20D4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Sygnalizator bezruchu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 xml:space="preserve"> z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dwoma przyciskami 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 xml:space="preserve">-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obsługa prosta i intuicyjna. 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 xml:space="preserve">Jeden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przycisk do ręcznego aktywowania alarmu, 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 xml:space="preserve">drugi do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u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ru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chomienia przyrządu.</w:t>
            </w:r>
          </w:p>
          <w:p w14:paraId="14715A5A" w14:textId="0E62200E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Dioda LED pokazuj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ąca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gotowość urządzenia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 xml:space="preserve"> i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poziom baterii.</w:t>
            </w:r>
          </w:p>
          <w:p w14:paraId="125F58AD" w14:textId="3297273C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Obudowa trwała i wodoszczelna [IP67], zbudowana tak aby stawiać opór najtrudniejszym warunkom. 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 xml:space="preserve">Możliwość 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łatw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ego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i bezpieczn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ego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zaczepi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enia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do pasa biodrowego lub barkowego.</w:t>
            </w:r>
          </w:p>
          <w:p w14:paraId="4BF003CF" w14:textId="0F3E1058" w:rsidR="00DD7345" w:rsidRPr="00DD7345" w:rsidRDefault="00DD7345" w:rsidP="00AC59FD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Alarm 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skła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da się z wyróżniającego i słyszalnego alarmu z 95 </w:t>
            </w:r>
            <w:proofErr w:type="spellStart"/>
            <w:r w:rsidRPr="00DD7345">
              <w:rPr>
                <w:rFonts w:asciiTheme="majorHAnsi" w:hAnsiTheme="majorHAnsi" w:cstheme="majorHAnsi"/>
                <w:bCs/>
                <w:sz w:val="20"/>
              </w:rPr>
              <w:t>dB</w:t>
            </w:r>
            <w:proofErr w:type="spellEnd"/>
            <w:r w:rsidRPr="00DD7345">
              <w:rPr>
                <w:rFonts w:asciiTheme="majorHAnsi" w:hAnsiTheme="majorHAnsi" w:cstheme="majorHAnsi"/>
                <w:bCs/>
                <w:sz w:val="20"/>
              </w:rPr>
              <w:t xml:space="preserve"> w odległości 30 cm i bardzo jasno świecącej diody.</w:t>
            </w:r>
          </w:p>
          <w:p w14:paraId="47A7E43D" w14:textId="34C969E5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Dane techniczne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07D5BC52" w14:textId="2DF04E62" w:rsidR="00DD7345" w:rsidRPr="00DD7345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Wymiary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 xml:space="preserve"> max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: 100 x 75 x 45 mm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;</w:t>
            </w:r>
          </w:p>
          <w:p w14:paraId="2F1A091C" w14:textId="76FBD76C" w:rsidR="00150CAF" w:rsidRPr="000D7B04" w:rsidRDefault="00DD7345" w:rsidP="00D84C98">
            <w:pPr>
              <w:widowControl/>
              <w:suppressAutoHyphens w:val="0"/>
              <w:autoSpaceDN/>
              <w:textAlignment w:val="auto"/>
              <w:rPr>
                <w:rFonts w:asciiTheme="majorHAnsi" w:hAnsiTheme="majorHAnsi" w:cstheme="majorHAnsi"/>
                <w:bCs/>
                <w:sz w:val="20"/>
              </w:rPr>
            </w:pPr>
            <w:r w:rsidRPr="00DD7345">
              <w:rPr>
                <w:rFonts w:asciiTheme="majorHAnsi" w:hAnsiTheme="majorHAnsi" w:cstheme="majorHAnsi"/>
                <w:bCs/>
                <w:sz w:val="20"/>
              </w:rPr>
              <w:t>Waga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 xml:space="preserve"> max</w:t>
            </w:r>
            <w:r w:rsidRPr="00DD7345">
              <w:rPr>
                <w:rFonts w:asciiTheme="majorHAnsi" w:hAnsiTheme="majorHAnsi" w:cstheme="majorHAnsi"/>
                <w:bCs/>
                <w:sz w:val="20"/>
              </w:rPr>
              <w:t>: 250 g z bateriami</w:t>
            </w:r>
            <w:r w:rsidR="00AC59FD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  <w:tc>
          <w:tcPr>
            <w:tcW w:w="603" w:type="dxa"/>
            <w:vAlign w:val="center"/>
          </w:tcPr>
          <w:p w14:paraId="7816D1EC" w14:textId="14EEFAD9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bCs/>
                <w:sz w:val="20"/>
              </w:rPr>
              <w:t>szt.</w:t>
            </w:r>
          </w:p>
        </w:tc>
        <w:tc>
          <w:tcPr>
            <w:tcW w:w="624" w:type="dxa"/>
            <w:vAlign w:val="center"/>
          </w:tcPr>
          <w:p w14:paraId="1E803F1A" w14:textId="75F8C61C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  <w:r w:rsidRPr="000D7B04">
              <w:rPr>
                <w:rFonts w:asciiTheme="majorHAnsi" w:hAnsiTheme="majorHAnsi" w:cstheme="majorHAnsi"/>
                <w:color w:val="000000"/>
                <w:sz w:val="20"/>
              </w:rPr>
              <w:t>3</w:t>
            </w:r>
          </w:p>
        </w:tc>
        <w:tc>
          <w:tcPr>
            <w:tcW w:w="1304" w:type="dxa"/>
            <w:vAlign w:val="center"/>
          </w:tcPr>
          <w:p w14:paraId="39017F5E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12371C25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73F7089" w14:textId="77777777" w:rsidR="00150CAF" w:rsidRPr="000D7B04" w:rsidRDefault="00150CAF" w:rsidP="000D7B0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1D6EAC" w:rsidRPr="000D7B04" w14:paraId="1F7E9EF7" w14:textId="77777777" w:rsidTr="001D6EAC">
        <w:trPr>
          <w:trHeight w:val="510"/>
          <w:jc w:val="center"/>
        </w:trPr>
        <w:tc>
          <w:tcPr>
            <w:tcW w:w="567" w:type="dxa"/>
            <w:shd w:val="clear" w:color="auto" w:fill="BFBFBF" w:themeFill="background1" w:themeFillShade="BF"/>
            <w:noWrap/>
            <w:vAlign w:val="center"/>
          </w:tcPr>
          <w:p w14:paraId="5896BB2A" w14:textId="77777777" w:rsidR="00150CAF" w:rsidRPr="000D7B04" w:rsidRDefault="00150CAF" w:rsidP="001D6EA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14:paraId="29970F3A" w14:textId="77777777" w:rsidR="00150CAF" w:rsidRPr="000D7B04" w:rsidRDefault="00150CAF" w:rsidP="001D6EA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</w:p>
        </w:tc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626D59A6" w14:textId="77777777" w:rsidR="00150CAF" w:rsidRPr="000D7B04" w:rsidRDefault="00150CAF" w:rsidP="001D6EA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</w:p>
        </w:tc>
        <w:tc>
          <w:tcPr>
            <w:tcW w:w="603" w:type="dxa"/>
            <w:shd w:val="clear" w:color="auto" w:fill="BFBFBF" w:themeFill="background1" w:themeFillShade="BF"/>
            <w:vAlign w:val="center"/>
          </w:tcPr>
          <w:p w14:paraId="030FE69D" w14:textId="14DC4C71" w:rsidR="00150CAF" w:rsidRPr="000D7B04" w:rsidRDefault="00150CAF" w:rsidP="001D6EA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140ECAE9" w14:textId="77777777" w:rsidR="00150CAF" w:rsidRPr="000D7B04" w:rsidRDefault="00150CAF" w:rsidP="001D6EA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1184EFBF" w14:textId="77777777" w:rsidR="00150CAF" w:rsidRPr="000D7B04" w:rsidRDefault="00150CAF" w:rsidP="001D6EA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7103063B" w14:textId="77777777" w:rsidR="00150CAF" w:rsidRPr="000D7B04" w:rsidRDefault="00150CAF" w:rsidP="001D6EA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14:paraId="1C12FCF2" w14:textId="77777777" w:rsidR="00150CAF" w:rsidRPr="000D7B04" w:rsidRDefault="00150CAF" w:rsidP="001D6EA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</w:p>
        </w:tc>
      </w:tr>
    </w:tbl>
    <w:p w14:paraId="311BF883" w14:textId="77777777" w:rsidR="00164F19" w:rsidRPr="001D6EAC" w:rsidRDefault="00164F19" w:rsidP="000D7B04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Theme="majorHAnsi" w:eastAsia="Calibri" w:hAnsiTheme="majorHAnsi" w:cstheme="majorHAnsi"/>
          <w:b/>
          <w:bCs/>
          <w:sz w:val="10"/>
          <w:szCs w:val="10"/>
        </w:rPr>
      </w:pPr>
    </w:p>
    <w:p w14:paraId="10706776" w14:textId="5D9691A9" w:rsidR="001D6EAC" w:rsidRPr="001D6EAC" w:rsidRDefault="001D6EAC" w:rsidP="000D7B04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>Zamawiający informuj</w:t>
      </w: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>e</w:t>
      </w: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, że jeżeli opis przedmiotu </w:t>
      </w: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zamówienia </w:t>
      </w: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nie stanowi inaczej dopuszcza </w:t>
      </w: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się </w:t>
      </w: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>we wszystkich pozycjach tolerancję +/- 5%.</w:t>
      </w:r>
    </w:p>
    <w:p w14:paraId="7DC88C3E" w14:textId="2C5BB7D2" w:rsidR="00162636" w:rsidRPr="001D6EAC" w:rsidRDefault="00164F19" w:rsidP="000D7B04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Pozycje, przy których można wybrać kolor czy rozmiar </w:t>
      </w:r>
      <w:r w:rsidR="001D6EAC"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(np. odzież, obuwie) </w:t>
      </w: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>zostaną ustalone z Zamawiającym po podpisaniu umowy na realizację zamówienia.</w:t>
      </w:r>
    </w:p>
    <w:p w14:paraId="0D8DB316" w14:textId="0A393D7C" w:rsidR="004101C4" w:rsidRPr="001D6EAC" w:rsidRDefault="004101C4" w:rsidP="000D7B04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Zamawiający będzie wymagał </w:t>
      </w:r>
      <w:r w:rsidR="00595221"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>wyszczególnienia na fakturze k</w:t>
      </w:r>
      <w:r w:rsidR="00D163C2" w:rsidRPr="001D6EAC">
        <w:rPr>
          <w:rFonts w:asciiTheme="majorHAnsi" w:eastAsia="Calibri" w:hAnsiTheme="majorHAnsi" w:cstheme="majorHAnsi"/>
          <w:b/>
          <w:bCs/>
          <w:sz w:val="22"/>
          <w:szCs w:val="22"/>
        </w:rPr>
        <w:t>ażdej pozycji.</w:t>
      </w:r>
    </w:p>
    <w:sectPr w:rsidR="004101C4" w:rsidRPr="001D6EAC" w:rsidSect="001D6EAC">
      <w:footerReference w:type="default" r:id="rId7"/>
      <w:pgSz w:w="16838" w:h="11906" w:orient="landscape"/>
      <w:pgMar w:top="964" w:right="1134" w:bottom="2410" w:left="1134" w:header="284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2D664" w14:textId="77777777" w:rsidR="002838F8" w:rsidRDefault="002838F8">
      <w:r>
        <w:separator/>
      </w:r>
    </w:p>
  </w:endnote>
  <w:endnote w:type="continuationSeparator" w:id="0">
    <w:p w14:paraId="61D9740A" w14:textId="77777777" w:rsidR="002838F8" w:rsidRDefault="0028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4E0E" w14:textId="77777777" w:rsidR="002838F8" w:rsidRPr="00EA032A" w:rsidRDefault="002838F8" w:rsidP="00D33CA8">
    <w:pPr>
      <w:pStyle w:val="Stopka"/>
      <w:pBdr>
        <w:bottom w:val="single" w:sz="12" w:space="1" w:color="auto"/>
      </w:pBdr>
      <w:jc w:val="center"/>
      <w:rPr>
        <w:sz w:val="10"/>
        <w:szCs w:val="10"/>
      </w:rPr>
    </w:pPr>
    <w:bookmarkStart w:id="0" w:name="_Hlk117448052"/>
    <w:bookmarkStart w:id="1" w:name="_Hlk117448053"/>
    <w:bookmarkStart w:id="2" w:name="_Hlk117448698"/>
    <w:bookmarkStart w:id="3" w:name="_Hlk117448699"/>
  </w:p>
  <w:p w14:paraId="638925B5" w14:textId="77777777" w:rsidR="002838F8" w:rsidRDefault="002838F8" w:rsidP="00D33CA8">
    <w:pPr>
      <w:pStyle w:val="Stopka"/>
      <w:jc w:val="center"/>
    </w:pPr>
    <w:r>
      <w:rPr>
        <w:noProof/>
      </w:rPr>
      <w:drawing>
        <wp:inline distT="0" distB="0" distL="0" distR="0" wp14:anchorId="6C025F58" wp14:editId="321090EE">
          <wp:extent cx="4680000" cy="884404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88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E4D4A7" w14:textId="442F17F4" w:rsidR="002838F8" w:rsidRPr="00D33CA8" w:rsidRDefault="002838F8" w:rsidP="00D33CA8">
    <w:pPr>
      <w:pStyle w:val="Stopka"/>
      <w:jc w:val="center"/>
      <w:rPr>
        <w:rFonts w:asciiTheme="majorHAnsi" w:hAnsiTheme="majorHAnsi" w:cstheme="majorHAnsi"/>
        <w:b/>
        <w:bCs/>
        <w:sz w:val="18"/>
        <w:szCs w:val="18"/>
      </w:rPr>
    </w:pPr>
    <w:r w:rsidRPr="00EA032A">
      <w:rPr>
        <w:rFonts w:asciiTheme="majorHAnsi" w:hAnsiTheme="majorHAnsi" w:cstheme="majorHAnsi"/>
        <w:b/>
        <w:bCs/>
        <w:sz w:val="18"/>
        <w:szCs w:val="18"/>
      </w:rPr>
      <w:t>Zamówienie współfinansowane ze środków Funduszu Sprawiedliwości, którego dysponentem jest Minister Sprawiedliwości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7ED30" w14:textId="77777777" w:rsidR="002838F8" w:rsidRDefault="002838F8">
      <w:r>
        <w:rPr>
          <w:color w:val="000000"/>
        </w:rPr>
        <w:separator/>
      </w:r>
    </w:p>
  </w:footnote>
  <w:footnote w:type="continuationSeparator" w:id="0">
    <w:p w14:paraId="2AF456B7" w14:textId="77777777" w:rsidR="002838F8" w:rsidRDefault="00283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F55ED24C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985943"/>
    <w:multiLevelType w:val="hybridMultilevel"/>
    <w:tmpl w:val="58B6D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45A0"/>
    <w:multiLevelType w:val="multilevel"/>
    <w:tmpl w:val="84565B5E"/>
    <w:styleLink w:val="WWNum4"/>
    <w:lvl w:ilvl="0">
      <w:numFmt w:val="bullet"/>
      <w:lvlText w:val=""/>
      <w:lvlJc w:val="left"/>
      <w:pPr>
        <w:ind w:left="720" w:hanging="360"/>
      </w:pPr>
      <w:rPr>
        <w:rFonts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3" w15:restartNumberingAfterBreak="0">
    <w:nsid w:val="0FE74399"/>
    <w:multiLevelType w:val="hybridMultilevel"/>
    <w:tmpl w:val="FDF06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D118A"/>
    <w:multiLevelType w:val="hybridMultilevel"/>
    <w:tmpl w:val="10AE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C0C91"/>
    <w:multiLevelType w:val="multilevel"/>
    <w:tmpl w:val="841C9F6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2052306D"/>
    <w:multiLevelType w:val="multilevel"/>
    <w:tmpl w:val="F768F92C"/>
    <w:styleLink w:val="WWNum2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5711F4F"/>
    <w:multiLevelType w:val="hybridMultilevel"/>
    <w:tmpl w:val="81B44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53AD"/>
    <w:multiLevelType w:val="multilevel"/>
    <w:tmpl w:val="912A873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36702749"/>
    <w:multiLevelType w:val="hybridMultilevel"/>
    <w:tmpl w:val="09D0EB98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409F4844"/>
    <w:multiLevelType w:val="hybridMultilevel"/>
    <w:tmpl w:val="54C69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9180C"/>
    <w:multiLevelType w:val="hybridMultilevel"/>
    <w:tmpl w:val="8E969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B08A4"/>
    <w:multiLevelType w:val="multilevel"/>
    <w:tmpl w:val="3B78CD6E"/>
    <w:styleLink w:val="WWNum5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4E8B7F32"/>
    <w:multiLevelType w:val="multilevel"/>
    <w:tmpl w:val="EF982BDC"/>
    <w:styleLink w:val="WWNum3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56A41B71"/>
    <w:multiLevelType w:val="hybridMultilevel"/>
    <w:tmpl w:val="D8EEE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467C"/>
    <w:multiLevelType w:val="hybridMultilevel"/>
    <w:tmpl w:val="7DA2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D0C2D"/>
    <w:multiLevelType w:val="hybridMultilevel"/>
    <w:tmpl w:val="AF98E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05097"/>
    <w:multiLevelType w:val="hybridMultilevel"/>
    <w:tmpl w:val="013CA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2"/>
  </w:num>
  <w:num w:numId="7">
    <w:abstractNumId w:val="14"/>
  </w:num>
  <w:num w:numId="8">
    <w:abstractNumId w:val="7"/>
  </w:num>
  <w:num w:numId="9">
    <w:abstractNumId w:val="9"/>
  </w:num>
  <w:num w:numId="10">
    <w:abstractNumId w:val="11"/>
  </w:num>
  <w:num w:numId="11">
    <w:abstractNumId w:val="16"/>
  </w:num>
  <w:num w:numId="12">
    <w:abstractNumId w:val="3"/>
  </w:num>
  <w:num w:numId="13">
    <w:abstractNumId w:val="1"/>
  </w:num>
  <w:num w:numId="14">
    <w:abstractNumId w:val="17"/>
  </w:num>
  <w:num w:numId="15">
    <w:abstractNumId w:val="15"/>
  </w:num>
  <w:num w:numId="16">
    <w:abstractNumId w:val="10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FF"/>
    <w:rsid w:val="0002116B"/>
    <w:rsid w:val="000213F4"/>
    <w:rsid w:val="00035CCC"/>
    <w:rsid w:val="00065E32"/>
    <w:rsid w:val="000D7B04"/>
    <w:rsid w:val="00150CAF"/>
    <w:rsid w:val="00162636"/>
    <w:rsid w:val="00164F19"/>
    <w:rsid w:val="001A3E3B"/>
    <w:rsid w:val="001D6EAC"/>
    <w:rsid w:val="00225A5A"/>
    <w:rsid w:val="002838F8"/>
    <w:rsid w:val="0029173C"/>
    <w:rsid w:val="002C4949"/>
    <w:rsid w:val="00335397"/>
    <w:rsid w:val="00362BCF"/>
    <w:rsid w:val="003F0B86"/>
    <w:rsid w:val="003F0FE7"/>
    <w:rsid w:val="00401FFF"/>
    <w:rsid w:val="004101C4"/>
    <w:rsid w:val="004369EE"/>
    <w:rsid w:val="00493FC6"/>
    <w:rsid w:val="004B0335"/>
    <w:rsid w:val="004E1748"/>
    <w:rsid w:val="00521406"/>
    <w:rsid w:val="005530E5"/>
    <w:rsid w:val="00563502"/>
    <w:rsid w:val="00586B44"/>
    <w:rsid w:val="00595221"/>
    <w:rsid w:val="005C10A0"/>
    <w:rsid w:val="005D30DF"/>
    <w:rsid w:val="005E14ED"/>
    <w:rsid w:val="0061007E"/>
    <w:rsid w:val="00615049"/>
    <w:rsid w:val="0072466F"/>
    <w:rsid w:val="007B7D72"/>
    <w:rsid w:val="00830732"/>
    <w:rsid w:val="00844D8B"/>
    <w:rsid w:val="00876EF3"/>
    <w:rsid w:val="00891469"/>
    <w:rsid w:val="00916DAE"/>
    <w:rsid w:val="009B0B20"/>
    <w:rsid w:val="00A361E7"/>
    <w:rsid w:val="00A6521E"/>
    <w:rsid w:val="00A74B1F"/>
    <w:rsid w:val="00AB382E"/>
    <w:rsid w:val="00AC59FD"/>
    <w:rsid w:val="00B35BDD"/>
    <w:rsid w:val="00B51510"/>
    <w:rsid w:val="00B853B3"/>
    <w:rsid w:val="00BC7315"/>
    <w:rsid w:val="00BF7A30"/>
    <w:rsid w:val="00C0247E"/>
    <w:rsid w:val="00C435EF"/>
    <w:rsid w:val="00C81A34"/>
    <w:rsid w:val="00C841FF"/>
    <w:rsid w:val="00CA6C87"/>
    <w:rsid w:val="00CF6889"/>
    <w:rsid w:val="00D10C73"/>
    <w:rsid w:val="00D163C2"/>
    <w:rsid w:val="00D33CA8"/>
    <w:rsid w:val="00D718ED"/>
    <w:rsid w:val="00D84C98"/>
    <w:rsid w:val="00DB3D50"/>
    <w:rsid w:val="00DD7345"/>
    <w:rsid w:val="00E449D9"/>
    <w:rsid w:val="00E52829"/>
    <w:rsid w:val="00FC00DF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578E89"/>
  <w15:docId w15:val="{7100F9FD-33F3-4C63-8AD9-2BB41042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Times New Roman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widowControl w:val="0"/>
      <w:spacing w:before="240" w:after="60"/>
      <w:outlineLvl w:val="0"/>
    </w:pPr>
    <w:rPr>
      <w:rFonts w:ascii="Cambria" w:eastAsia="Cambria" w:hAnsi="Cambria" w:cs="Mangal"/>
      <w:b/>
      <w:bCs/>
      <w:kern w:val="3"/>
      <w:sz w:val="32"/>
      <w:szCs w:val="29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101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agwek"/>
    <w:next w:val="Textbody"/>
    <w:uiPriority w:val="9"/>
    <w:semiHidden/>
    <w:unhideWhenUsed/>
    <w:qFormat/>
    <w:pPr>
      <w:keepNext/>
      <w:tabs>
        <w:tab w:val="clear" w:pos="4536"/>
        <w:tab w:val="clear" w:pos="9072"/>
      </w:tabs>
      <w:spacing w:before="240" w:after="120"/>
      <w:outlineLvl w:val="4"/>
    </w:pPr>
    <w:rPr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Lucida Sans Unicode" w:cs="Mangal"/>
      <w:kern w:val="3"/>
      <w:szCs w:val="21"/>
      <w:lang w:eastAsia="hi-IN" w:bidi="hi-IN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uiPriority w:val="99"/>
    <w:pPr>
      <w:widowControl w:val="0"/>
      <w:tabs>
        <w:tab w:val="center" w:pos="4536"/>
        <w:tab w:val="right" w:pos="9072"/>
      </w:tabs>
    </w:pPr>
    <w:rPr>
      <w:rFonts w:eastAsia="Lucida Sans Unicode" w:cs="Mangal"/>
      <w:kern w:val="3"/>
      <w:szCs w:val="21"/>
      <w:lang w:eastAsia="hi-IN" w:bidi="hi-IN"/>
    </w:rPr>
  </w:style>
  <w:style w:type="paragraph" w:customStyle="1" w:styleId="Contents1">
    <w:name w:val="Contents 1"/>
    <w:basedOn w:val="Standard"/>
    <w:next w:val="Standard"/>
    <w:autoRedefine/>
    <w:pPr>
      <w:widowControl w:val="0"/>
    </w:pPr>
    <w:rPr>
      <w:rFonts w:eastAsia="Lucida Sans Unicode" w:cs="Mangal"/>
      <w:kern w:val="3"/>
      <w:szCs w:val="21"/>
      <w:lang w:eastAsia="hi-IN" w:bidi="hi-IN"/>
    </w:rPr>
  </w:style>
  <w:style w:type="paragraph" w:customStyle="1" w:styleId="Contents2">
    <w:name w:val="Contents 2"/>
    <w:basedOn w:val="Standard"/>
    <w:next w:val="Standard"/>
    <w:autoRedefine/>
    <w:pPr>
      <w:spacing w:after="100" w:line="276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ts3">
    <w:name w:val="Contents 3"/>
    <w:basedOn w:val="Standard"/>
    <w:next w:val="Standard"/>
    <w:autoRedefine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Standard"/>
    <w:pPr>
      <w:keepLines/>
      <w:widowControl/>
      <w:suppressAutoHyphens w:val="0"/>
      <w:spacing w:before="480" w:after="0" w:line="276" w:lineRule="auto"/>
    </w:pPr>
    <w:rPr>
      <w:rFonts w:cs="Times New Roman"/>
      <w:color w:val="365F91"/>
      <w:kern w:val="0"/>
      <w:sz w:val="28"/>
      <w:szCs w:val="28"/>
      <w:lang w:eastAsia="en-US" w:bidi="ar-SA"/>
    </w:rPr>
  </w:style>
  <w:style w:type="paragraph" w:customStyle="1" w:styleId="Styl1">
    <w:name w:val="Styl1"/>
    <w:basedOn w:val="Nagwek1"/>
    <w:rPr>
      <w:rFonts w:ascii="Times New Roman" w:eastAsia="Times New Roman" w:hAnsi="Times New Roman" w:cs="Times New Roman"/>
      <w:sz w:val="26"/>
    </w:rPr>
  </w:style>
  <w:style w:type="paragraph" w:customStyle="1" w:styleId="Styl2">
    <w:name w:val="Styl2"/>
    <w:basedOn w:val="Standard"/>
    <w:pPr>
      <w:widowControl w:val="0"/>
      <w:spacing w:line="360" w:lineRule="auto"/>
      <w:jc w:val="both"/>
    </w:pPr>
    <w:rPr>
      <w:rFonts w:eastAsia="Lucida Sans Unicode" w:cs="Mangal"/>
      <w:b/>
      <w:bCs/>
      <w:kern w:val="3"/>
      <w:sz w:val="26"/>
      <w:szCs w:val="26"/>
      <w:lang w:eastAsia="hi-IN" w:bidi="hi-IN"/>
    </w:rPr>
  </w:style>
  <w:style w:type="paragraph" w:customStyle="1" w:styleId="Styl3">
    <w:name w:val="Styl3"/>
    <w:basedOn w:val="Styl2"/>
    <w:autoRedefine/>
  </w:style>
  <w:style w:type="paragraph" w:customStyle="1" w:styleId="Default">
    <w:name w:val="Default"/>
    <w:pPr>
      <w:widowControl/>
    </w:pPr>
    <w:rPr>
      <w:rFonts w:eastAsia="Times New Roman"/>
      <w:color w:val="000000"/>
      <w:szCs w:val="24"/>
    </w:rPr>
  </w:style>
  <w:style w:type="paragraph" w:customStyle="1" w:styleId="Standarduser">
    <w:name w:val="Standard (user)"/>
    <w:rPr>
      <w:rFonts w:cs="Tahoma"/>
      <w:color w:val="000000"/>
      <w:kern w:val="3"/>
      <w:szCs w:val="24"/>
      <w:lang w:val="en-US" w:eastAsia="en-US" w:bidi="en-US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spacing w:after="120" w:line="480" w:lineRule="auto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Nagwek1Znak">
    <w:name w:val="Nagłówek 1 Znak"/>
    <w:basedOn w:val="Domylnaczcionkaakapitu"/>
    <w:uiPriority w:val="9"/>
    <w:rPr>
      <w:rFonts w:ascii="Cambria" w:eastAsia="Times New Roman" w:hAnsi="Cambria" w:cs="Mangal"/>
      <w:b/>
      <w:bCs/>
      <w:kern w:val="3"/>
      <w:sz w:val="32"/>
      <w:szCs w:val="29"/>
      <w:lang w:eastAsia="hi-IN" w:bidi="hi-IN"/>
    </w:rPr>
  </w:style>
  <w:style w:type="character" w:customStyle="1" w:styleId="Nagwek5Znak">
    <w:name w:val="Nagłówek 5 Znak"/>
    <w:basedOn w:val="Domylnaczcionkaakapitu"/>
    <w:rPr>
      <w:rFonts w:eastAsia="Lucida Sans Unicode" w:cs="Mangal"/>
      <w:b/>
      <w:bCs/>
      <w:kern w:val="3"/>
      <w:sz w:val="32"/>
      <w:szCs w:val="24"/>
      <w:lang w:eastAsia="hi-IN" w:bidi="hi-IN"/>
    </w:rPr>
  </w:style>
  <w:style w:type="character" w:customStyle="1" w:styleId="NagwekZnak">
    <w:name w:val="Nagłówek Znak"/>
    <w:basedOn w:val="Domylnaczcionkaakapitu"/>
    <w:uiPriority w:val="99"/>
    <w:rPr>
      <w:rFonts w:eastAsia="Lucida Sans Unicode" w:cs="Mangal"/>
      <w:kern w:val="3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rPr>
      <w:rFonts w:eastAsia="Lucida Sans Unicode" w:cs="Mangal"/>
      <w:kern w:val="3"/>
      <w:sz w:val="24"/>
      <w:szCs w:val="21"/>
      <w:lang w:eastAsia="hi-IN" w:bidi="hi-IN"/>
    </w:rPr>
  </w:style>
  <w:style w:type="character" w:styleId="Uwydatnienie">
    <w:name w:val="Emphasis"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ptioncharacters">
    <w:name w:val="Caption characters"/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2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6521E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A6521E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A6521E"/>
  </w:style>
  <w:style w:type="character" w:styleId="Hipercze">
    <w:name w:val="Hyperlink"/>
    <w:basedOn w:val="Domylnaczcionkaakapitu"/>
    <w:uiPriority w:val="99"/>
    <w:unhideWhenUsed/>
    <w:rsid w:val="00C81A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A3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14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14ED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E14E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E14ED"/>
  </w:style>
  <w:style w:type="character" w:customStyle="1" w:styleId="Nagwek4Znak">
    <w:name w:val="Nagłówek 4 Znak"/>
    <w:basedOn w:val="Domylnaczcionkaakapitu"/>
    <w:link w:val="Nagwek4"/>
    <w:rsid w:val="004101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Bezlisty2">
    <w:name w:val="Bez listy2"/>
    <w:next w:val="Bezlisty"/>
    <w:uiPriority w:val="99"/>
    <w:semiHidden/>
    <w:unhideWhenUsed/>
    <w:rsid w:val="004101C4"/>
  </w:style>
  <w:style w:type="character" w:customStyle="1" w:styleId="Teksttreci">
    <w:name w:val="Tekst treści_"/>
    <w:link w:val="Teksttreci0"/>
    <w:rsid w:val="004101C4"/>
    <w:rPr>
      <w:rFonts w:eastAsia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101C4"/>
    <w:pPr>
      <w:shd w:val="clear" w:color="auto" w:fill="FFFFFF"/>
      <w:suppressAutoHyphens w:val="0"/>
      <w:autoSpaceDN/>
      <w:spacing w:line="276" w:lineRule="auto"/>
      <w:ind w:firstLine="20"/>
      <w:jc w:val="both"/>
      <w:textAlignment w:val="auto"/>
    </w:pPr>
    <w:rPr>
      <w:rFonts w:eastAsia="Times New Roman"/>
    </w:rPr>
  </w:style>
  <w:style w:type="character" w:customStyle="1" w:styleId="Nagwek10">
    <w:name w:val="Nagłówek #1_"/>
    <w:link w:val="Nagwek11"/>
    <w:rsid w:val="004101C4"/>
    <w:rPr>
      <w:rFonts w:eastAsia="Times New Roman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101C4"/>
    <w:pPr>
      <w:shd w:val="clear" w:color="auto" w:fill="FFFFFF"/>
      <w:suppressAutoHyphens w:val="0"/>
      <w:autoSpaceDN/>
      <w:spacing w:after="80" w:line="283" w:lineRule="auto"/>
      <w:textAlignment w:val="auto"/>
      <w:outlineLvl w:val="0"/>
    </w:pPr>
    <w:rPr>
      <w:rFonts w:eastAsia="Times New Roman"/>
      <w:b/>
      <w:bCs/>
    </w:rPr>
  </w:style>
  <w:style w:type="character" w:customStyle="1" w:styleId="StopkaZnak">
    <w:name w:val="Stopka Znak"/>
    <w:link w:val="Stopka"/>
    <w:uiPriority w:val="99"/>
    <w:rsid w:val="004101C4"/>
    <w:rPr>
      <w:rFonts w:eastAsia="Times New Roman"/>
      <w:szCs w:val="24"/>
    </w:rPr>
  </w:style>
  <w:style w:type="character" w:styleId="Odwoaniedokomentarza">
    <w:name w:val="annotation reference"/>
    <w:uiPriority w:val="99"/>
    <w:semiHidden/>
    <w:unhideWhenUsed/>
    <w:rsid w:val="00410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1C4"/>
    <w:pPr>
      <w:widowControl/>
      <w:spacing w:after="160"/>
    </w:pPr>
    <w:rPr>
      <w:rFonts w:ascii="Calibri" w:eastAsia="Calibri" w:hAnsi="Calibri"/>
      <w:sz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1C4"/>
    <w:rPr>
      <w:rFonts w:ascii="Calibri" w:eastAsia="Calibri" w:hAnsi="Calibri"/>
      <w:sz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1C4"/>
    <w:pPr>
      <w:widowControl/>
      <w:suppressAutoHyphens w:val="0"/>
      <w:autoSpaceDN/>
      <w:textAlignment w:val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1C4"/>
    <w:rPr>
      <w:rFonts w:ascii="Segoe UI" w:eastAsia="Calibri" w:hAnsi="Segoe UI"/>
      <w:sz w:val="18"/>
      <w:szCs w:val="18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1C4"/>
    <w:pPr>
      <w:suppressAutoHyphens w:val="0"/>
      <w:autoSpaceDN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1C4"/>
    <w:rPr>
      <w:rFonts w:ascii="Calibri" w:eastAsia="Calibri" w:hAnsi="Calibri"/>
      <w:b/>
      <w:bCs/>
      <w:sz w:val="20"/>
      <w:lang w:val="x-none" w:eastAsia="x-none"/>
    </w:rPr>
  </w:style>
  <w:style w:type="table" w:styleId="Tabela-Siatka">
    <w:name w:val="Table Grid"/>
    <w:basedOn w:val="Standardowy"/>
    <w:uiPriority w:val="39"/>
    <w:rsid w:val="004101C4"/>
    <w:pPr>
      <w:widowControl/>
      <w:suppressAutoHyphens w:val="0"/>
      <w:autoSpaceDN/>
      <w:textAlignment w:val="auto"/>
    </w:pPr>
    <w:rPr>
      <w:rFonts w:ascii="Calibri" w:eastAsia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">
    <w:name w:val="Tekst treści (3)_"/>
    <w:link w:val="Teksttreci30"/>
    <w:locked/>
    <w:rsid w:val="004101C4"/>
    <w:rPr>
      <w:rFonts w:eastAsia="Times New Roman"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101C4"/>
    <w:pPr>
      <w:shd w:val="clear" w:color="auto" w:fill="FFFFFF"/>
      <w:suppressAutoHyphens w:val="0"/>
      <w:autoSpaceDN/>
      <w:spacing w:after="720" w:line="0" w:lineRule="atLeast"/>
      <w:ind w:hanging="420"/>
      <w:jc w:val="both"/>
      <w:textAlignment w:val="auto"/>
    </w:pPr>
    <w:rPr>
      <w:rFonts w:eastAsia="Times New Roman"/>
      <w:sz w:val="28"/>
      <w:szCs w:val="28"/>
    </w:rPr>
  </w:style>
  <w:style w:type="character" w:customStyle="1" w:styleId="Teksttreci2">
    <w:name w:val="Tekst treści (2)_"/>
    <w:link w:val="Teksttreci20"/>
    <w:rsid w:val="004101C4"/>
    <w:rPr>
      <w:rFonts w:eastAsia="Times New Roman"/>
      <w:sz w:val="21"/>
      <w:szCs w:val="21"/>
      <w:shd w:val="clear" w:color="auto" w:fill="FFFFFF"/>
    </w:rPr>
  </w:style>
  <w:style w:type="character" w:customStyle="1" w:styleId="Nagwek20">
    <w:name w:val="Nagłówek #2_"/>
    <w:link w:val="Nagwek21"/>
    <w:rsid w:val="004101C4"/>
    <w:rPr>
      <w:rFonts w:eastAsia="Times New Roman"/>
      <w:b/>
      <w:bCs/>
      <w:sz w:val="32"/>
      <w:szCs w:val="32"/>
      <w:shd w:val="clear" w:color="auto" w:fill="FFFFFF"/>
    </w:rPr>
  </w:style>
  <w:style w:type="character" w:customStyle="1" w:styleId="Teksttreci2Pogrubienie">
    <w:name w:val="Tekst treści (2) + Pogrubienie"/>
    <w:rsid w:val="004101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40">
    <w:name w:val="Nagłówek #4_"/>
    <w:rsid w:val="004101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1">
    <w:name w:val="Nagłówek #4"/>
    <w:rsid w:val="004101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101C4"/>
    <w:pPr>
      <w:shd w:val="clear" w:color="auto" w:fill="FFFFFF"/>
      <w:suppressAutoHyphens w:val="0"/>
      <w:autoSpaceDN/>
      <w:spacing w:line="456" w:lineRule="exact"/>
      <w:jc w:val="both"/>
      <w:textAlignment w:val="auto"/>
    </w:pPr>
    <w:rPr>
      <w:rFonts w:eastAsia="Times New Roman"/>
      <w:sz w:val="21"/>
      <w:szCs w:val="21"/>
    </w:rPr>
  </w:style>
  <w:style w:type="paragraph" w:customStyle="1" w:styleId="Nagwek21">
    <w:name w:val="Nagłówek #2"/>
    <w:basedOn w:val="Normalny"/>
    <w:link w:val="Nagwek20"/>
    <w:rsid w:val="004101C4"/>
    <w:pPr>
      <w:shd w:val="clear" w:color="auto" w:fill="FFFFFF"/>
      <w:suppressAutoHyphens w:val="0"/>
      <w:autoSpaceDN/>
      <w:spacing w:before="960" w:after="780" w:line="0" w:lineRule="atLeast"/>
      <w:jc w:val="center"/>
      <w:textAlignment w:val="auto"/>
      <w:outlineLvl w:val="1"/>
    </w:pPr>
    <w:rPr>
      <w:rFonts w:eastAsia="Times New Roman"/>
      <w:b/>
      <w:bCs/>
      <w:sz w:val="32"/>
      <w:szCs w:val="32"/>
    </w:rPr>
  </w:style>
  <w:style w:type="character" w:customStyle="1" w:styleId="PogrubienieTeksttreci2Calibri10pt">
    <w:name w:val="Pogrubienie;Tekst treści (2) + Calibri;10 pt"/>
    <w:rsid w:val="004101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PogrubienieTeksttreci2Calibri16pt">
    <w:name w:val="Pogrubienie;Tekst treści (2) + Calibri;16 pt"/>
    <w:rsid w:val="004101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pl-PL" w:eastAsia="pl-PL" w:bidi="pl-PL"/>
    </w:rPr>
  </w:style>
  <w:style w:type="character" w:customStyle="1" w:styleId="Teksttreci2Calibri10pt">
    <w:name w:val="Tekst treści (2) + Calibri;10 pt"/>
    <w:rsid w:val="004101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Calibri9pt">
    <w:name w:val="Tekst treści (2) + Calibri;9 pt"/>
    <w:rsid w:val="004101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101C4"/>
    <w:pPr>
      <w:widowControl/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01C4"/>
    <w:pPr>
      <w:widowControl/>
      <w:suppressAutoHyphens w:val="0"/>
      <w:autoSpaceDN/>
      <w:spacing w:after="160" w:line="259" w:lineRule="auto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01C4"/>
    <w:rPr>
      <w:rFonts w:ascii="Calibri" w:eastAsia="Calibri" w:hAnsi="Calibri"/>
      <w:sz w:val="20"/>
      <w:lang w:eastAsia="en-US"/>
    </w:rPr>
  </w:style>
  <w:style w:type="character" w:styleId="Odwoanieprzypisukocowego">
    <w:name w:val="endnote reference"/>
    <w:uiPriority w:val="99"/>
    <w:semiHidden/>
    <w:unhideWhenUsed/>
    <w:rsid w:val="004101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101C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szCs w:val="24"/>
    </w:rPr>
  </w:style>
  <w:style w:type="character" w:styleId="Pogrubienie">
    <w:name w:val="Strong"/>
    <w:uiPriority w:val="22"/>
    <w:qFormat/>
    <w:rsid w:val="004101C4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1C4"/>
    <w:pPr>
      <w:widowControl/>
      <w:pBdr>
        <w:top w:val="single" w:sz="4" w:space="10" w:color="5B9BD5"/>
        <w:bottom w:val="single" w:sz="4" w:space="10" w:color="5B9BD5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="Calibri" w:eastAsia="Calibri" w:hAnsi="Calibri"/>
      <w:i/>
      <w:iCs/>
      <w:color w:val="5B9BD5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1C4"/>
    <w:rPr>
      <w:rFonts w:ascii="Calibri" w:eastAsia="Calibri" w:hAnsi="Calibri"/>
      <w:i/>
      <w:iCs/>
      <w:color w:val="5B9BD5"/>
      <w:sz w:val="22"/>
      <w:szCs w:val="22"/>
      <w:lang w:eastAsia="en-US"/>
    </w:rPr>
  </w:style>
  <w:style w:type="character" w:customStyle="1" w:styleId="caps">
    <w:name w:val="caps"/>
    <w:rsid w:val="004101C4"/>
  </w:style>
  <w:style w:type="character" w:customStyle="1" w:styleId="size">
    <w:name w:val="size"/>
    <w:rsid w:val="004101C4"/>
  </w:style>
  <w:style w:type="character" w:customStyle="1" w:styleId="colour">
    <w:name w:val="colour"/>
    <w:rsid w:val="0041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3186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Korulczyk</dc:creator>
  <cp:lastModifiedBy>Dariusz Korulczyk</cp:lastModifiedBy>
  <cp:revision>13</cp:revision>
  <cp:lastPrinted>2021-10-14T13:16:00Z</cp:lastPrinted>
  <dcterms:created xsi:type="dcterms:W3CDTF">2021-10-14T09:01:00Z</dcterms:created>
  <dcterms:modified xsi:type="dcterms:W3CDTF">2022-10-25T12:20:00Z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